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93224" w14:textId="5A9B312C" w:rsidR="00A763DD" w:rsidRPr="00CF1710" w:rsidRDefault="008D42F0" w:rsidP="005B6859">
      <w:pPr>
        <w:jc w:val="center"/>
        <w:rPr>
          <w:rFonts w:ascii="Times New Roman" w:hAnsi="Times New Roman" w:cs="Times New Roman"/>
          <w:b/>
          <w:bCs/>
          <w:sz w:val="28"/>
          <w:szCs w:val="28"/>
        </w:rPr>
      </w:pPr>
      <w:r w:rsidRPr="00CF1710">
        <w:rPr>
          <w:rFonts w:ascii="Times New Roman" w:hAnsi="Times New Roman" w:cs="Times New Roman"/>
          <w:b/>
          <w:bCs/>
          <w:sz w:val="28"/>
          <w:szCs w:val="28"/>
        </w:rPr>
        <w:t>ПОРІВНЯЛЬНА ТАБЛИЦЯ</w:t>
      </w:r>
    </w:p>
    <w:tbl>
      <w:tblPr>
        <w:tblW w:w="1488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95"/>
        <w:gridCol w:w="7496"/>
      </w:tblGrid>
      <w:tr w:rsidR="008D42F0" w:rsidRPr="00CF1710" w14:paraId="570FD94F" w14:textId="5414FF81" w:rsidTr="00CF1710">
        <w:trPr>
          <w:trHeight w:val="720"/>
        </w:trPr>
        <w:tc>
          <w:tcPr>
            <w:tcW w:w="7495" w:type="dxa"/>
          </w:tcPr>
          <w:p w14:paraId="34CA7C50" w14:textId="0495C986" w:rsidR="008D42F0" w:rsidRPr="00CF1710" w:rsidRDefault="009B28AA" w:rsidP="001C4D21">
            <w:pPr>
              <w:jc w:val="center"/>
              <w:rPr>
                <w:rFonts w:ascii="Times New Roman" w:hAnsi="Times New Roman" w:cs="Times New Roman"/>
                <w:sz w:val="28"/>
                <w:szCs w:val="28"/>
              </w:rPr>
            </w:pPr>
            <w:r w:rsidRPr="00CF1710">
              <w:rPr>
                <w:rFonts w:ascii="Times New Roman" w:hAnsi="Times New Roman" w:cs="Times New Roman"/>
                <w:color w:val="000000"/>
                <w:sz w:val="28"/>
                <w:szCs w:val="28"/>
              </w:rPr>
              <w:t>ЧИННА РЕДАКЦІЯ</w:t>
            </w:r>
          </w:p>
        </w:tc>
        <w:tc>
          <w:tcPr>
            <w:tcW w:w="7390" w:type="dxa"/>
          </w:tcPr>
          <w:p w14:paraId="449ACEEE" w14:textId="30AAB49C" w:rsidR="008D42F0" w:rsidRPr="00CF1710" w:rsidRDefault="009B28AA" w:rsidP="001C4D21">
            <w:pPr>
              <w:jc w:val="center"/>
              <w:rPr>
                <w:rFonts w:ascii="Times New Roman" w:hAnsi="Times New Roman" w:cs="Times New Roman"/>
                <w:sz w:val="28"/>
                <w:szCs w:val="28"/>
              </w:rPr>
            </w:pPr>
            <w:r w:rsidRPr="00CF1710">
              <w:rPr>
                <w:rFonts w:ascii="Times New Roman" w:hAnsi="Times New Roman" w:cs="Times New Roman"/>
                <w:color w:val="000000"/>
                <w:sz w:val="28"/>
                <w:szCs w:val="28"/>
              </w:rPr>
              <w:t>НОВА РЕДАКЦІЯ</w:t>
            </w:r>
          </w:p>
        </w:tc>
      </w:tr>
      <w:tr w:rsidR="005B6859" w:rsidRPr="00CF1710" w14:paraId="56EDE671" w14:textId="77777777" w:rsidTr="00CF1710">
        <w:trPr>
          <w:trHeight w:val="2291"/>
        </w:trPr>
        <w:tc>
          <w:tcPr>
            <w:tcW w:w="7495" w:type="dxa"/>
          </w:tcPr>
          <w:p w14:paraId="5053A9BE" w14:textId="77777777" w:rsidR="009B28AA" w:rsidRPr="00CF1710" w:rsidRDefault="009B28AA" w:rsidP="001C4D21">
            <w:pPr>
              <w:pStyle w:val="3"/>
              <w:spacing w:before="0"/>
              <w:jc w:val="center"/>
              <w:rPr>
                <w:rFonts w:ascii="Times New Roman" w:hAnsi="Times New Roman" w:cs="Times New Roman"/>
                <w:color w:val="000000"/>
                <w:sz w:val="28"/>
                <w:szCs w:val="28"/>
              </w:rPr>
            </w:pPr>
            <w:r w:rsidRPr="00CF1710">
              <w:rPr>
                <w:rFonts w:ascii="Times New Roman" w:hAnsi="Times New Roman" w:cs="Times New Roman"/>
                <w:color w:val="000000"/>
                <w:sz w:val="28"/>
                <w:szCs w:val="28"/>
              </w:rPr>
              <w:t>Міська цільова програма "Підтримка та розвиток галузі охорони здоров'я столиці" на 2024 - 2027 роки</w:t>
            </w:r>
          </w:p>
          <w:p w14:paraId="7F1C956B" w14:textId="1509DA86" w:rsidR="005B6859" w:rsidRPr="00CF1710" w:rsidRDefault="009B28AA" w:rsidP="001C4D21">
            <w:pPr>
              <w:pStyle w:val="3"/>
              <w:spacing w:before="0"/>
              <w:jc w:val="center"/>
              <w:rPr>
                <w:rFonts w:ascii="Times New Roman" w:hAnsi="Times New Roman" w:cs="Times New Roman"/>
                <w:sz w:val="28"/>
                <w:szCs w:val="28"/>
              </w:rPr>
            </w:pPr>
            <w:bookmarkStart w:id="0" w:name="9601"/>
            <w:r w:rsidRPr="00CF1710">
              <w:rPr>
                <w:rFonts w:ascii="Times New Roman" w:hAnsi="Times New Roman" w:cs="Times New Roman"/>
                <w:color w:val="000000"/>
                <w:sz w:val="28"/>
                <w:szCs w:val="28"/>
              </w:rPr>
              <w:t>ПАСПОРТ</w:t>
            </w:r>
            <w:r w:rsidRPr="00CF1710">
              <w:rPr>
                <w:rFonts w:ascii="Times New Roman" w:hAnsi="Times New Roman" w:cs="Times New Roman"/>
                <w:sz w:val="28"/>
                <w:szCs w:val="28"/>
              </w:rPr>
              <w:br/>
            </w:r>
            <w:r w:rsidRPr="00CF1710">
              <w:rPr>
                <w:rFonts w:ascii="Times New Roman" w:hAnsi="Times New Roman" w:cs="Times New Roman"/>
                <w:color w:val="000000"/>
                <w:sz w:val="28"/>
                <w:szCs w:val="28"/>
              </w:rPr>
              <w:t>міської цільової програми "Підтримка та розвиток галузі охорони здоров'я столиці" на 2024 - 2027 роки</w:t>
            </w:r>
            <w:bookmarkEnd w:id="0"/>
          </w:p>
        </w:tc>
        <w:tc>
          <w:tcPr>
            <w:tcW w:w="7390" w:type="dxa"/>
          </w:tcPr>
          <w:p w14:paraId="582CEE23" w14:textId="77777777" w:rsidR="001C4D21" w:rsidRPr="00CF1710" w:rsidRDefault="001C4D21" w:rsidP="001C4D21">
            <w:pPr>
              <w:pStyle w:val="3"/>
              <w:spacing w:before="0"/>
              <w:jc w:val="center"/>
              <w:rPr>
                <w:rFonts w:ascii="Times New Roman" w:hAnsi="Times New Roman" w:cs="Times New Roman"/>
                <w:sz w:val="28"/>
                <w:szCs w:val="28"/>
              </w:rPr>
            </w:pPr>
            <w:r w:rsidRPr="00CF1710">
              <w:rPr>
                <w:rFonts w:ascii="Times New Roman" w:hAnsi="Times New Roman" w:cs="Times New Roman"/>
                <w:color w:val="000000"/>
                <w:sz w:val="28"/>
                <w:szCs w:val="28"/>
              </w:rPr>
              <w:t>Міська цільова програма "Підтримка та розвиток галузі охорони здоров'я столиці" на 2024 - 2027 роки</w:t>
            </w:r>
          </w:p>
          <w:p w14:paraId="069D2DAC" w14:textId="4481E064" w:rsidR="005B6859" w:rsidRPr="00CF1710" w:rsidRDefault="001C4D21" w:rsidP="001C4D21">
            <w:pPr>
              <w:pStyle w:val="3"/>
              <w:spacing w:before="0"/>
              <w:jc w:val="center"/>
              <w:rPr>
                <w:rFonts w:ascii="Times New Roman" w:hAnsi="Times New Roman" w:cs="Times New Roman"/>
                <w:sz w:val="28"/>
                <w:szCs w:val="28"/>
              </w:rPr>
            </w:pPr>
            <w:r w:rsidRPr="00CF1710">
              <w:rPr>
                <w:rFonts w:ascii="Times New Roman" w:hAnsi="Times New Roman" w:cs="Times New Roman"/>
                <w:color w:val="000000"/>
                <w:sz w:val="28"/>
                <w:szCs w:val="28"/>
              </w:rPr>
              <w:t>I. ПАСПОРТ</w:t>
            </w:r>
            <w:r w:rsidRPr="00CF1710">
              <w:rPr>
                <w:rFonts w:ascii="Times New Roman" w:hAnsi="Times New Roman" w:cs="Times New Roman"/>
                <w:sz w:val="28"/>
                <w:szCs w:val="28"/>
              </w:rPr>
              <w:br/>
            </w:r>
            <w:r w:rsidRPr="00CF1710">
              <w:rPr>
                <w:rFonts w:ascii="Times New Roman" w:hAnsi="Times New Roman" w:cs="Times New Roman"/>
                <w:color w:val="000000"/>
                <w:sz w:val="28"/>
                <w:szCs w:val="28"/>
              </w:rPr>
              <w:t>міської цільової програми "Підтримка та розвиток галузі охорони здоров'я столиці" на 2024 - 2027 роки</w:t>
            </w:r>
          </w:p>
        </w:tc>
      </w:tr>
      <w:tr w:rsidR="001C4D21" w:rsidRPr="00CF1710" w14:paraId="4340320B" w14:textId="77777777" w:rsidTr="00CF1710">
        <w:trPr>
          <w:trHeight w:val="527"/>
        </w:trPr>
        <w:tc>
          <w:tcPr>
            <w:tcW w:w="7495" w:type="dxa"/>
          </w:tcPr>
          <w:tbl>
            <w:tblPr>
              <w:tblW w:w="7439" w:type="dxa"/>
              <w:tblLook w:val="0000" w:firstRow="0" w:lastRow="0" w:firstColumn="0" w:lastColumn="0" w:noHBand="0" w:noVBand="0"/>
            </w:tblPr>
            <w:tblGrid>
              <w:gridCol w:w="426"/>
              <w:gridCol w:w="1348"/>
              <w:gridCol w:w="1097"/>
              <w:gridCol w:w="1097"/>
              <w:gridCol w:w="1097"/>
              <w:gridCol w:w="1097"/>
              <w:gridCol w:w="1097"/>
            </w:tblGrid>
            <w:tr w:rsidR="00CF1710" w:rsidRPr="00CF1710" w14:paraId="524403A9"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4DFE32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w:t>
                  </w:r>
                </w:p>
              </w:tc>
              <w:tc>
                <w:tcPr>
                  <w:tcW w:w="1493" w:type="dxa"/>
                  <w:tcBorders>
                    <w:top w:val="outset" w:sz="8" w:space="0" w:color="000000"/>
                    <w:left w:val="outset" w:sz="8" w:space="0" w:color="000000"/>
                    <w:bottom w:val="outset" w:sz="8" w:space="0" w:color="000000"/>
                    <w:right w:val="outset" w:sz="8" w:space="0" w:color="000000"/>
                  </w:tcBorders>
                  <w:vAlign w:val="center"/>
                </w:tcPr>
                <w:p w14:paraId="1C191400"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Мета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09210185"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Забезпечення надання мешканцям столиці якісної, доступної та безоплатної медичної допомоги шляхом підтримки й розвитку комунальних закладів охорони здоров'я та підприємств, установ і організацій комунальної власності територіальної громади міста Києва, що сприяють розвитку галузі охорони здоров'я та функціонуванню єдиного медичного простору, а також військовослужбовцям Збройних Сил України</w:t>
                  </w:r>
                </w:p>
              </w:tc>
            </w:tr>
            <w:tr w:rsidR="00CF1710" w:rsidRPr="00CF1710" w14:paraId="1B11AE6A"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164D5B0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w:t>
                  </w:r>
                </w:p>
              </w:tc>
              <w:tc>
                <w:tcPr>
                  <w:tcW w:w="1493" w:type="dxa"/>
                  <w:tcBorders>
                    <w:top w:val="outset" w:sz="8" w:space="0" w:color="000000"/>
                    <w:left w:val="outset" w:sz="8" w:space="0" w:color="000000"/>
                    <w:bottom w:val="outset" w:sz="8" w:space="0" w:color="000000"/>
                    <w:right w:val="outset" w:sz="8" w:space="0" w:color="000000"/>
                  </w:tcBorders>
                  <w:vAlign w:val="center"/>
                </w:tcPr>
                <w:p w14:paraId="30A95C28"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6C412ABE"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Стратегічна ціль 1. Підвищення безпеки та якості життя мешканців / мешканок міста Києва Напрям 1.6. Охорона здоров'я та здоровий спосіб життя Оперативна ціль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w:t>
                  </w:r>
                </w:p>
              </w:tc>
            </w:tr>
            <w:tr w:rsidR="00CF1710" w:rsidRPr="00CF1710" w14:paraId="62F2A2F3"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105CE7D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3</w:t>
                  </w:r>
                </w:p>
              </w:tc>
              <w:tc>
                <w:tcPr>
                  <w:tcW w:w="1493" w:type="dxa"/>
                  <w:tcBorders>
                    <w:top w:val="outset" w:sz="8" w:space="0" w:color="000000"/>
                    <w:left w:val="outset" w:sz="8" w:space="0" w:color="000000"/>
                    <w:bottom w:val="outset" w:sz="8" w:space="0" w:color="000000"/>
                    <w:right w:val="outset" w:sz="8" w:space="0" w:color="000000"/>
                  </w:tcBorders>
                  <w:vAlign w:val="center"/>
                </w:tcPr>
                <w:p w14:paraId="5737A41C"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Дата, номер і назва розпорядчого документа про </w:t>
                  </w:r>
                  <w:r w:rsidRPr="00CF1710">
                    <w:rPr>
                      <w:rFonts w:ascii="Times New Roman" w:hAnsi="Times New Roman" w:cs="Times New Roman"/>
                      <w:sz w:val="19"/>
                      <w:szCs w:val="19"/>
                    </w:rPr>
                    <w:lastRenderedPageBreak/>
                    <w:t xml:space="preserve">розроблення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0C9FA110"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lastRenderedPageBreak/>
                    <w:t xml:space="preserve">Розпорядження Київського міського голови від 31.01.2023 N 66 "Про підготовку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міської цільової програми "Підтримка та розвиток галузі охорони здоров'я столиці" на 2024 - 2025 роки", лист Департаменту охорони здоров'я виконавчого органу Київської міської ради (Київської міської державної </w:t>
                  </w:r>
                  <w:r w:rsidRPr="00CF1710">
                    <w:rPr>
                      <w:rFonts w:ascii="Times New Roman" w:hAnsi="Times New Roman" w:cs="Times New Roman"/>
                      <w:sz w:val="19"/>
                      <w:szCs w:val="19"/>
                    </w:rPr>
                    <w:lastRenderedPageBreak/>
                    <w:t xml:space="preserve">адміністрації), N 061-4005 від 07.05.2025, - для проведення експертизи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змін до міської цільової програми "Підтримка та розвиток галузі охорони здоров'я столиці" на 2024 - 2025 роки" з метою приведення у відповідність до актуалізованої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і продовження терміну дії до 2027 року</w:t>
                  </w:r>
                </w:p>
              </w:tc>
            </w:tr>
            <w:tr w:rsidR="00CF1710" w:rsidRPr="00CF1710" w14:paraId="4146F48C"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116230B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4</w:t>
                  </w:r>
                </w:p>
              </w:tc>
              <w:tc>
                <w:tcPr>
                  <w:tcW w:w="1493" w:type="dxa"/>
                  <w:tcBorders>
                    <w:top w:val="outset" w:sz="8" w:space="0" w:color="000000"/>
                    <w:left w:val="outset" w:sz="8" w:space="0" w:color="000000"/>
                    <w:bottom w:val="outset" w:sz="8" w:space="0" w:color="000000"/>
                    <w:right w:val="outset" w:sz="8" w:space="0" w:color="000000"/>
                  </w:tcBorders>
                  <w:vAlign w:val="center"/>
                </w:tcPr>
                <w:p w14:paraId="7EF3167E"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Розробник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4EB2ED50"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Департамент охорони здоров'я виконавчого органу Київської міської ради (Київської міської державної адміністрації) (далі - Департамент охорони здоров'я міста Києва)</w:t>
                  </w:r>
                </w:p>
              </w:tc>
            </w:tr>
            <w:tr w:rsidR="00CF1710" w:rsidRPr="00CF1710" w14:paraId="2918442B"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5A207A9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w:t>
                  </w:r>
                </w:p>
              </w:tc>
              <w:tc>
                <w:tcPr>
                  <w:tcW w:w="1493" w:type="dxa"/>
                  <w:tcBorders>
                    <w:top w:val="outset" w:sz="8" w:space="0" w:color="000000"/>
                    <w:left w:val="outset" w:sz="8" w:space="0" w:color="000000"/>
                    <w:bottom w:val="outset" w:sz="8" w:space="0" w:color="000000"/>
                    <w:right w:val="outset" w:sz="8" w:space="0" w:color="000000"/>
                  </w:tcBorders>
                  <w:vAlign w:val="center"/>
                </w:tcPr>
                <w:p w14:paraId="2B0B1978"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Відповідальний виконавець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63DCCFAE"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Департамент охорони здоров'я міста Києва</w:t>
                  </w:r>
                </w:p>
              </w:tc>
            </w:tr>
            <w:tr w:rsidR="00CF1710" w:rsidRPr="00CF1710" w14:paraId="1CE1342B"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22FBE61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w:t>
                  </w:r>
                </w:p>
              </w:tc>
              <w:tc>
                <w:tcPr>
                  <w:tcW w:w="1493" w:type="dxa"/>
                  <w:tcBorders>
                    <w:top w:val="outset" w:sz="8" w:space="0" w:color="000000"/>
                    <w:left w:val="outset" w:sz="8" w:space="0" w:color="000000"/>
                    <w:bottom w:val="outset" w:sz="8" w:space="0" w:color="000000"/>
                    <w:right w:val="outset" w:sz="8" w:space="0" w:color="000000"/>
                  </w:tcBorders>
                  <w:vAlign w:val="center"/>
                </w:tcPr>
                <w:p w14:paraId="34B5AF62"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Співвиконавці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39160597"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Апарат виконавчого органу Київської міської ради (Київської міської державної адміністрації); районні в місті Києві державні адміністрації (далі - РДА); Комунальне підприємство "Інженерний центр" виконавчого органу Київської міської ради (Київської міської державної адміністрації) (далі - КП "Інженерний центр"); Комунальне підприємство з питань будівництва житлових будинків "</w:t>
                  </w:r>
                  <w:proofErr w:type="spellStart"/>
                  <w:r w:rsidRPr="00CF1710">
                    <w:rPr>
                      <w:rFonts w:ascii="Times New Roman" w:hAnsi="Times New Roman" w:cs="Times New Roman"/>
                      <w:sz w:val="19"/>
                      <w:szCs w:val="19"/>
                    </w:rPr>
                    <w:t>Житлоінвестбуд</w:t>
                  </w:r>
                  <w:proofErr w:type="spellEnd"/>
                  <w:r w:rsidRPr="00CF1710">
                    <w:rPr>
                      <w:rFonts w:ascii="Times New Roman" w:hAnsi="Times New Roman" w:cs="Times New Roman"/>
                      <w:sz w:val="19"/>
                      <w:szCs w:val="19"/>
                    </w:rPr>
                    <w:t>-УКБ"; Комунальна організація "</w:t>
                  </w:r>
                  <w:proofErr w:type="spellStart"/>
                  <w:r w:rsidRPr="00CF1710">
                    <w:rPr>
                      <w:rFonts w:ascii="Times New Roman" w:hAnsi="Times New Roman" w:cs="Times New Roman"/>
                      <w:sz w:val="19"/>
                      <w:szCs w:val="19"/>
                    </w:rPr>
                    <w:t>Київмедспецтранс</w:t>
                  </w:r>
                  <w:proofErr w:type="spellEnd"/>
                  <w:r w:rsidRPr="00CF1710">
                    <w:rPr>
                      <w:rFonts w:ascii="Times New Roman" w:hAnsi="Times New Roman" w:cs="Times New Roman"/>
                      <w:sz w:val="19"/>
                      <w:szCs w:val="19"/>
                    </w:rPr>
                    <w:t>" (далі - КО "</w:t>
                  </w:r>
                  <w:proofErr w:type="spellStart"/>
                  <w:r w:rsidRPr="00CF1710">
                    <w:rPr>
                      <w:rFonts w:ascii="Times New Roman" w:hAnsi="Times New Roman" w:cs="Times New Roman"/>
                      <w:sz w:val="19"/>
                      <w:szCs w:val="19"/>
                    </w:rPr>
                    <w:t>Київмедспецтранс</w:t>
                  </w:r>
                  <w:proofErr w:type="spellEnd"/>
                  <w:r w:rsidRPr="00CF1710">
                    <w:rPr>
                      <w:rFonts w:ascii="Times New Roman" w:hAnsi="Times New Roman" w:cs="Times New Roman"/>
                      <w:sz w:val="19"/>
                      <w:szCs w:val="19"/>
                    </w:rPr>
                    <w:t xml:space="preserve">"); заклади охорони здоров'я, установи, підприємства, що засновані на комунальній власності територіальної громади міста Києва (далі - заклади охорони здоров'я, що засновані на комунальній власності територіальної громади міста Києва); Комунальне некомерційне підприємство "Київський міський інформаційно-аналітичний центр медичної статистики" виконавчого органу Київської міської ради (Київської міської державної адміністрації) (далі - КНП "Київський міський інформаційно-аналітичний центр медичної статистики"); Комунальне некомерційне підприємство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(далі - КНП "Центр екстреної медичної допомоги та медицини катастроф міста Києва"), Дитячий спеціалізований санаторій "Ялинка" Територіального медичного об'єднання "Санаторного лікування" у місті Києві (далі - Дитячий спеціалізований санаторій "Ялинка"), Дитячий </w:t>
                  </w:r>
                  <w:r w:rsidRPr="00CF1710">
                    <w:rPr>
                      <w:rFonts w:ascii="Times New Roman" w:hAnsi="Times New Roman" w:cs="Times New Roman"/>
                      <w:sz w:val="19"/>
                      <w:szCs w:val="19"/>
                    </w:rPr>
                    <w:lastRenderedPageBreak/>
                    <w:t>спеціалізований санаторій "Лісова поляна" Територіального медичного об'єднання "Санаторного лікування" у місті Києві (далі - Дитячий спеціалізований санаторій "Лісова поляна")</w:t>
                  </w:r>
                </w:p>
              </w:tc>
            </w:tr>
            <w:tr w:rsidR="00CF1710" w:rsidRPr="00CF1710" w14:paraId="37AF8F28"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69B25F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7</w:t>
                  </w:r>
                </w:p>
              </w:tc>
              <w:tc>
                <w:tcPr>
                  <w:tcW w:w="1493" w:type="dxa"/>
                  <w:tcBorders>
                    <w:top w:val="outset" w:sz="8" w:space="0" w:color="000000"/>
                    <w:left w:val="outset" w:sz="8" w:space="0" w:color="000000"/>
                    <w:bottom w:val="outset" w:sz="8" w:space="0" w:color="000000"/>
                    <w:right w:val="outset" w:sz="8" w:space="0" w:color="000000"/>
                  </w:tcBorders>
                  <w:vAlign w:val="center"/>
                </w:tcPr>
                <w:p w14:paraId="090B83F8"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Строки реалізації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19D2666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2024 - 2027 роки</w:t>
                  </w:r>
                </w:p>
              </w:tc>
            </w:tr>
            <w:tr w:rsidR="00CF1710" w:rsidRPr="00CF1710" w14:paraId="399F2D50" w14:textId="77777777" w:rsidTr="00A84088">
              <w:trPr>
                <w:trHeight w:val="45"/>
              </w:trPr>
              <w:tc>
                <w:tcPr>
                  <w:tcW w:w="457" w:type="dxa"/>
                  <w:vMerge w:val="restart"/>
                  <w:tcBorders>
                    <w:top w:val="outset" w:sz="8" w:space="0" w:color="000000"/>
                    <w:left w:val="outset" w:sz="8" w:space="0" w:color="000000"/>
                    <w:bottom w:val="outset" w:sz="8" w:space="0" w:color="000000"/>
                    <w:right w:val="outset" w:sz="8" w:space="0" w:color="000000"/>
                  </w:tcBorders>
                  <w:vAlign w:val="center"/>
                </w:tcPr>
                <w:p w14:paraId="6513B02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w:t>
                  </w:r>
                </w:p>
              </w:tc>
              <w:tc>
                <w:tcPr>
                  <w:tcW w:w="1493" w:type="dxa"/>
                  <w:vMerge w:val="restart"/>
                  <w:tcBorders>
                    <w:top w:val="outset" w:sz="8" w:space="0" w:color="000000"/>
                    <w:left w:val="outset" w:sz="8" w:space="0" w:color="000000"/>
                    <w:bottom w:val="outset" w:sz="8" w:space="0" w:color="000000"/>
                    <w:right w:val="outset" w:sz="8" w:space="0" w:color="000000"/>
                  </w:tcBorders>
                  <w:vAlign w:val="center"/>
                </w:tcPr>
                <w:p w14:paraId="3F5A5C21"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Обсяги фінансових ресурсів, необхідних для реалізації програми</w:t>
                  </w:r>
                </w:p>
              </w:tc>
              <w:tc>
                <w:tcPr>
                  <w:tcW w:w="1227" w:type="dxa"/>
                  <w:vMerge w:val="restart"/>
                  <w:tcBorders>
                    <w:top w:val="outset" w:sz="8" w:space="0" w:color="000000"/>
                    <w:left w:val="outset" w:sz="8" w:space="0" w:color="000000"/>
                    <w:bottom w:val="outset" w:sz="8" w:space="0" w:color="000000"/>
                    <w:right w:val="outset" w:sz="8" w:space="0" w:color="000000"/>
                  </w:tcBorders>
                  <w:vAlign w:val="center"/>
                </w:tcPr>
                <w:p w14:paraId="088D372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Всього</w:t>
                  </w:r>
                  <w:r w:rsidRPr="00CF1710">
                    <w:rPr>
                      <w:rFonts w:ascii="Times New Roman" w:hAnsi="Times New Roman" w:cs="Times New Roman"/>
                      <w:sz w:val="19"/>
                      <w:szCs w:val="19"/>
                    </w:rPr>
                    <w:br/>
                    <w:t>(тис. грн)</w:t>
                  </w:r>
                </w:p>
              </w:tc>
              <w:tc>
                <w:tcPr>
                  <w:tcW w:w="4262" w:type="dxa"/>
                  <w:gridSpan w:val="4"/>
                  <w:tcBorders>
                    <w:top w:val="outset" w:sz="8" w:space="0" w:color="000000"/>
                    <w:left w:val="outset" w:sz="8" w:space="0" w:color="000000"/>
                    <w:bottom w:val="outset" w:sz="8" w:space="0" w:color="000000"/>
                    <w:right w:val="outset" w:sz="8" w:space="0" w:color="000000"/>
                  </w:tcBorders>
                  <w:vAlign w:val="center"/>
                </w:tcPr>
                <w:p w14:paraId="2C89B2D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у тому числі за роками</w:t>
                  </w:r>
                </w:p>
              </w:tc>
            </w:tr>
            <w:tr w:rsidR="00CF1710" w:rsidRPr="00CF1710" w14:paraId="4240231B" w14:textId="77777777" w:rsidTr="00A84088">
              <w:trPr>
                <w:trHeight w:val="45"/>
              </w:trPr>
              <w:tc>
                <w:tcPr>
                  <w:tcW w:w="457" w:type="dxa"/>
                  <w:vMerge/>
                  <w:tcBorders>
                    <w:left w:val="outset" w:sz="8" w:space="0" w:color="000000"/>
                    <w:bottom w:val="outset" w:sz="8" w:space="0" w:color="000000"/>
                    <w:right w:val="outset" w:sz="8" w:space="0" w:color="000000"/>
                  </w:tcBorders>
                </w:tcPr>
                <w:p w14:paraId="2A9A20EB" w14:textId="77777777" w:rsidR="00CF1710" w:rsidRPr="00CF1710" w:rsidRDefault="00CF1710" w:rsidP="00CF1710">
                  <w:pPr>
                    <w:widowControl w:val="0"/>
                    <w:spacing w:after="200"/>
                    <w:rPr>
                      <w:rFonts w:ascii="Times New Roman" w:hAnsi="Times New Roman" w:cs="Times New Roman"/>
                      <w:sz w:val="19"/>
                      <w:szCs w:val="19"/>
                    </w:rPr>
                  </w:pPr>
                </w:p>
              </w:tc>
              <w:tc>
                <w:tcPr>
                  <w:tcW w:w="1493" w:type="dxa"/>
                  <w:vMerge/>
                  <w:tcBorders>
                    <w:left w:val="outset" w:sz="8" w:space="0" w:color="000000"/>
                    <w:bottom w:val="outset" w:sz="8" w:space="0" w:color="000000"/>
                    <w:right w:val="outset" w:sz="8" w:space="0" w:color="000000"/>
                  </w:tcBorders>
                </w:tcPr>
                <w:p w14:paraId="75ED9C74" w14:textId="77777777" w:rsidR="00CF1710" w:rsidRPr="00CF1710" w:rsidRDefault="00CF1710" w:rsidP="00CF1710">
                  <w:pPr>
                    <w:widowControl w:val="0"/>
                    <w:spacing w:after="200"/>
                    <w:rPr>
                      <w:rFonts w:ascii="Times New Roman" w:hAnsi="Times New Roman" w:cs="Times New Roman"/>
                      <w:sz w:val="19"/>
                      <w:szCs w:val="19"/>
                    </w:rPr>
                  </w:pPr>
                </w:p>
              </w:tc>
              <w:tc>
                <w:tcPr>
                  <w:tcW w:w="1227" w:type="dxa"/>
                  <w:vMerge/>
                  <w:tcBorders>
                    <w:left w:val="outset" w:sz="8" w:space="0" w:color="000000"/>
                    <w:bottom w:val="outset" w:sz="8" w:space="0" w:color="000000"/>
                    <w:right w:val="outset" w:sz="8" w:space="0" w:color="000000"/>
                  </w:tcBorders>
                </w:tcPr>
                <w:p w14:paraId="3797FA1D" w14:textId="77777777" w:rsidR="00CF1710" w:rsidRPr="00CF1710" w:rsidRDefault="00CF1710" w:rsidP="00CF1710">
                  <w:pPr>
                    <w:widowControl w:val="0"/>
                    <w:spacing w:after="200"/>
                    <w:rPr>
                      <w:rFonts w:ascii="Times New Roman" w:hAnsi="Times New Roman" w:cs="Times New Roman"/>
                      <w:sz w:val="19"/>
                      <w:szCs w:val="19"/>
                    </w:rPr>
                  </w:pPr>
                </w:p>
              </w:tc>
              <w:tc>
                <w:tcPr>
                  <w:tcW w:w="1227" w:type="dxa"/>
                  <w:tcBorders>
                    <w:top w:val="outset" w:sz="8" w:space="0" w:color="000000"/>
                    <w:left w:val="outset" w:sz="8" w:space="0" w:color="000000"/>
                    <w:bottom w:val="outset" w:sz="8" w:space="0" w:color="000000"/>
                    <w:right w:val="outset" w:sz="8" w:space="0" w:color="000000"/>
                  </w:tcBorders>
                  <w:vAlign w:val="center"/>
                </w:tcPr>
                <w:p w14:paraId="5C62FAA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w:t>
                  </w:r>
                </w:p>
              </w:tc>
              <w:tc>
                <w:tcPr>
                  <w:tcW w:w="1227" w:type="dxa"/>
                  <w:tcBorders>
                    <w:top w:val="outset" w:sz="8" w:space="0" w:color="000000"/>
                    <w:left w:val="outset" w:sz="8" w:space="0" w:color="000000"/>
                    <w:bottom w:val="outset" w:sz="8" w:space="0" w:color="000000"/>
                    <w:right w:val="outset" w:sz="8" w:space="0" w:color="000000"/>
                  </w:tcBorders>
                  <w:vAlign w:val="center"/>
                </w:tcPr>
                <w:p w14:paraId="5C35F95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2025</w:t>
                  </w:r>
                </w:p>
              </w:tc>
              <w:tc>
                <w:tcPr>
                  <w:tcW w:w="1227" w:type="dxa"/>
                  <w:tcBorders>
                    <w:top w:val="outset" w:sz="8" w:space="0" w:color="000000"/>
                    <w:left w:val="outset" w:sz="8" w:space="0" w:color="000000"/>
                    <w:bottom w:val="outset" w:sz="8" w:space="0" w:color="000000"/>
                    <w:right w:val="outset" w:sz="8" w:space="0" w:color="000000"/>
                  </w:tcBorders>
                  <w:vAlign w:val="center"/>
                </w:tcPr>
                <w:p w14:paraId="1DAC167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2026</w:t>
                  </w:r>
                </w:p>
              </w:tc>
              <w:tc>
                <w:tcPr>
                  <w:tcW w:w="581" w:type="dxa"/>
                  <w:tcBorders>
                    <w:top w:val="outset" w:sz="8" w:space="0" w:color="000000"/>
                    <w:left w:val="outset" w:sz="8" w:space="0" w:color="000000"/>
                    <w:bottom w:val="outset" w:sz="8" w:space="0" w:color="000000"/>
                    <w:right w:val="outset" w:sz="8" w:space="0" w:color="000000"/>
                  </w:tcBorders>
                  <w:vAlign w:val="center"/>
                </w:tcPr>
                <w:p w14:paraId="6DE6971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2027</w:t>
                  </w:r>
                </w:p>
              </w:tc>
            </w:tr>
            <w:tr w:rsidR="00CF1710" w:rsidRPr="00CF1710" w14:paraId="4E482C18" w14:textId="77777777" w:rsidTr="00A84088">
              <w:trPr>
                <w:trHeight w:val="45"/>
              </w:trPr>
              <w:tc>
                <w:tcPr>
                  <w:tcW w:w="457" w:type="dxa"/>
                  <w:vMerge/>
                  <w:tcBorders>
                    <w:left w:val="outset" w:sz="8" w:space="0" w:color="000000"/>
                    <w:bottom w:val="outset" w:sz="8" w:space="0" w:color="000000"/>
                    <w:right w:val="outset" w:sz="8" w:space="0" w:color="000000"/>
                  </w:tcBorders>
                </w:tcPr>
                <w:p w14:paraId="318F881E" w14:textId="77777777" w:rsidR="00CF1710" w:rsidRPr="00CF1710" w:rsidRDefault="00CF1710" w:rsidP="00CF1710">
                  <w:pPr>
                    <w:widowControl w:val="0"/>
                    <w:spacing w:after="200"/>
                    <w:rPr>
                      <w:rFonts w:ascii="Times New Roman" w:hAnsi="Times New Roman" w:cs="Times New Roman"/>
                      <w:sz w:val="19"/>
                      <w:szCs w:val="19"/>
                    </w:rPr>
                  </w:pPr>
                </w:p>
              </w:tc>
              <w:tc>
                <w:tcPr>
                  <w:tcW w:w="1493" w:type="dxa"/>
                  <w:tcBorders>
                    <w:top w:val="outset" w:sz="8" w:space="0" w:color="000000"/>
                    <w:left w:val="outset" w:sz="8" w:space="0" w:color="000000"/>
                    <w:bottom w:val="outset" w:sz="8" w:space="0" w:color="000000"/>
                    <w:right w:val="outset" w:sz="8" w:space="0" w:color="000000"/>
                  </w:tcBorders>
                  <w:vAlign w:val="center"/>
                </w:tcPr>
                <w:p w14:paraId="6A65C169"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Всього</w:t>
                  </w:r>
                </w:p>
              </w:tc>
              <w:tc>
                <w:tcPr>
                  <w:tcW w:w="1227" w:type="dxa"/>
                  <w:tcBorders>
                    <w:top w:val="outset" w:sz="8" w:space="0" w:color="000000"/>
                    <w:left w:val="outset" w:sz="8" w:space="0" w:color="000000"/>
                    <w:bottom w:val="outset" w:sz="8" w:space="0" w:color="000000"/>
                    <w:right w:val="outset" w:sz="8" w:space="0" w:color="000000"/>
                  </w:tcBorders>
                  <w:vAlign w:val="center"/>
                </w:tcPr>
                <w:p w14:paraId="5CB9C32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59047960,56</w:t>
                  </w:r>
                </w:p>
              </w:tc>
              <w:tc>
                <w:tcPr>
                  <w:tcW w:w="1227" w:type="dxa"/>
                  <w:tcBorders>
                    <w:top w:val="outset" w:sz="8" w:space="0" w:color="000000"/>
                    <w:left w:val="outset" w:sz="8" w:space="0" w:color="000000"/>
                    <w:bottom w:val="outset" w:sz="8" w:space="0" w:color="000000"/>
                    <w:right w:val="outset" w:sz="8" w:space="0" w:color="000000"/>
                  </w:tcBorders>
                  <w:vAlign w:val="center"/>
                </w:tcPr>
                <w:p w14:paraId="5D81234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12654915,74</w:t>
                  </w:r>
                </w:p>
              </w:tc>
              <w:tc>
                <w:tcPr>
                  <w:tcW w:w="1227" w:type="dxa"/>
                  <w:tcBorders>
                    <w:top w:val="outset" w:sz="8" w:space="0" w:color="000000"/>
                    <w:left w:val="outset" w:sz="8" w:space="0" w:color="000000"/>
                    <w:bottom w:val="outset" w:sz="8" w:space="0" w:color="000000"/>
                    <w:right w:val="outset" w:sz="8" w:space="0" w:color="000000"/>
                  </w:tcBorders>
                  <w:vAlign w:val="center"/>
                </w:tcPr>
                <w:p w14:paraId="3E33791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14099405,63</w:t>
                  </w:r>
                </w:p>
              </w:tc>
              <w:tc>
                <w:tcPr>
                  <w:tcW w:w="1227" w:type="dxa"/>
                  <w:tcBorders>
                    <w:top w:val="outset" w:sz="8" w:space="0" w:color="000000"/>
                    <w:left w:val="outset" w:sz="8" w:space="0" w:color="000000"/>
                    <w:bottom w:val="outset" w:sz="8" w:space="0" w:color="000000"/>
                    <w:right w:val="outset" w:sz="8" w:space="0" w:color="000000"/>
                  </w:tcBorders>
                  <w:vAlign w:val="center"/>
                </w:tcPr>
                <w:p w14:paraId="57BA465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15672560,13</w:t>
                  </w:r>
                </w:p>
              </w:tc>
              <w:tc>
                <w:tcPr>
                  <w:tcW w:w="581" w:type="dxa"/>
                  <w:tcBorders>
                    <w:top w:val="outset" w:sz="8" w:space="0" w:color="000000"/>
                    <w:left w:val="outset" w:sz="8" w:space="0" w:color="000000"/>
                    <w:bottom w:val="outset" w:sz="8" w:space="0" w:color="000000"/>
                    <w:right w:val="outset" w:sz="8" w:space="0" w:color="000000"/>
                  </w:tcBorders>
                  <w:vAlign w:val="center"/>
                </w:tcPr>
                <w:p w14:paraId="20288A2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16621079,06</w:t>
                  </w:r>
                </w:p>
              </w:tc>
            </w:tr>
            <w:tr w:rsidR="00CF1710" w:rsidRPr="00CF1710" w14:paraId="5447786A"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41D0643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493" w:type="dxa"/>
                  <w:tcBorders>
                    <w:top w:val="outset" w:sz="8" w:space="0" w:color="000000"/>
                    <w:left w:val="outset" w:sz="8" w:space="0" w:color="000000"/>
                    <w:bottom w:val="outset" w:sz="8" w:space="0" w:color="000000"/>
                    <w:right w:val="outset" w:sz="8" w:space="0" w:color="000000"/>
                  </w:tcBorders>
                  <w:vAlign w:val="center"/>
                </w:tcPr>
                <w:p w14:paraId="72A18777"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у тому числі за джерелами:</w:t>
                  </w:r>
                </w:p>
              </w:tc>
              <w:tc>
                <w:tcPr>
                  <w:tcW w:w="1227" w:type="dxa"/>
                  <w:tcBorders>
                    <w:top w:val="outset" w:sz="8" w:space="0" w:color="000000"/>
                    <w:left w:val="outset" w:sz="8" w:space="0" w:color="000000"/>
                    <w:bottom w:val="outset" w:sz="8" w:space="0" w:color="000000"/>
                    <w:right w:val="outset" w:sz="8" w:space="0" w:color="000000"/>
                  </w:tcBorders>
                  <w:vAlign w:val="center"/>
                </w:tcPr>
                <w:p w14:paraId="39D6D93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0258E07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26A8E16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37DBAC3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581" w:type="dxa"/>
                  <w:tcBorders>
                    <w:top w:val="outset" w:sz="8" w:space="0" w:color="000000"/>
                    <w:left w:val="outset" w:sz="8" w:space="0" w:color="000000"/>
                    <w:bottom w:val="outset" w:sz="8" w:space="0" w:color="000000"/>
                    <w:right w:val="outset" w:sz="8" w:space="0" w:color="000000"/>
                  </w:tcBorders>
                  <w:vAlign w:val="center"/>
                </w:tcPr>
                <w:p w14:paraId="0169D61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05E7A61D"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54E3539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8.1</w:t>
                  </w:r>
                </w:p>
              </w:tc>
              <w:tc>
                <w:tcPr>
                  <w:tcW w:w="1493" w:type="dxa"/>
                  <w:tcBorders>
                    <w:top w:val="outset" w:sz="8" w:space="0" w:color="000000"/>
                    <w:left w:val="outset" w:sz="8" w:space="0" w:color="000000"/>
                    <w:bottom w:val="outset" w:sz="8" w:space="0" w:color="000000"/>
                    <w:right w:val="outset" w:sz="8" w:space="0" w:color="000000"/>
                  </w:tcBorders>
                  <w:vAlign w:val="center"/>
                </w:tcPr>
                <w:p w14:paraId="300AF8C3"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державний бюджет</w:t>
                  </w:r>
                </w:p>
              </w:tc>
              <w:tc>
                <w:tcPr>
                  <w:tcW w:w="1227" w:type="dxa"/>
                  <w:tcBorders>
                    <w:top w:val="outset" w:sz="8" w:space="0" w:color="000000"/>
                    <w:left w:val="outset" w:sz="8" w:space="0" w:color="000000"/>
                    <w:bottom w:val="outset" w:sz="8" w:space="0" w:color="000000"/>
                    <w:right w:val="outset" w:sz="8" w:space="0" w:color="000000"/>
                  </w:tcBorders>
                  <w:vAlign w:val="center"/>
                </w:tcPr>
                <w:p w14:paraId="2FF6251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10F8909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2ACF7FB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756281C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581" w:type="dxa"/>
                  <w:tcBorders>
                    <w:top w:val="outset" w:sz="8" w:space="0" w:color="000000"/>
                    <w:left w:val="outset" w:sz="8" w:space="0" w:color="000000"/>
                    <w:bottom w:val="outset" w:sz="8" w:space="0" w:color="000000"/>
                    <w:right w:val="outset" w:sz="8" w:space="0" w:color="000000"/>
                  </w:tcBorders>
                  <w:vAlign w:val="center"/>
                </w:tcPr>
                <w:p w14:paraId="5F1A101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5C4CDE5C"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22DC47A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8.2</w:t>
                  </w:r>
                </w:p>
              </w:tc>
              <w:tc>
                <w:tcPr>
                  <w:tcW w:w="1493" w:type="dxa"/>
                  <w:tcBorders>
                    <w:top w:val="outset" w:sz="8" w:space="0" w:color="000000"/>
                    <w:left w:val="outset" w:sz="8" w:space="0" w:color="000000"/>
                    <w:bottom w:val="outset" w:sz="8" w:space="0" w:color="000000"/>
                    <w:right w:val="outset" w:sz="8" w:space="0" w:color="000000"/>
                  </w:tcBorders>
                  <w:vAlign w:val="center"/>
                </w:tcPr>
                <w:p w14:paraId="77B5B672"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бюджет міста Києва</w:t>
                  </w:r>
                </w:p>
              </w:tc>
              <w:tc>
                <w:tcPr>
                  <w:tcW w:w="1227" w:type="dxa"/>
                  <w:tcBorders>
                    <w:top w:val="outset" w:sz="8" w:space="0" w:color="000000"/>
                    <w:left w:val="outset" w:sz="8" w:space="0" w:color="000000"/>
                    <w:bottom w:val="outset" w:sz="8" w:space="0" w:color="000000"/>
                    <w:right w:val="outset" w:sz="8" w:space="0" w:color="000000"/>
                  </w:tcBorders>
                  <w:vAlign w:val="center"/>
                </w:tcPr>
                <w:p w14:paraId="1125190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52415048,50</w:t>
                  </w:r>
                </w:p>
              </w:tc>
              <w:tc>
                <w:tcPr>
                  <w:tcW w:w="1227" w:type="dxa"/>
                  <w:tcBorders>
                    <w:top w:val="outset" w:sz="8" w:space="0" w:color="000000"/>
                    <w:left w:val="outset" w:sz="8" w:space="0" w:color="000000"/>
                    <w:bottom w:val="outset" w:sz="8" w:space="0" w:color="000000"/>
                    <w:right w:val="outset" w:sz="8" w:space="0" w:color="000000"/>
                  </w:tcBorders>
                  <w:vAlign w:val="center"/>
                </w:tcPr>
                <w:p w14:paraId="573D93F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11048318,08</w:t>
                  </w:r>
                </w:p>
              </w:tc>
              <w:tc>
                <w:tcPr>
                  <w:tcW w:w="1227" w:type="dxa"/>
                  <w:tcBorders>
                    <w:top w:val="outset" w:sz="8" w:space="0" w:color="000000"/>
                    <w:left w:val="outset" w:sz="8" w:space="0" w:color="000000"/>
                    <w:bottom w:val="outset" w:sz="8" w:space="0" w:color="000000"/>
                    <w:right w:val="outset" w:sz="8" w:space="0" w:color="000000"/>
                  </w:tcBorders>
                  <w:vAlign w:val="center"/>
                </w:tcPr>
                <w:p w14:paraId="7062E2B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12942673,67</w:t>
                  </w:r>
                </w:p>
              </w:tc>
              <w:tc>
                <w:tcPr>
                  <w:tcW w:w="1227" w:type="dxa"/>
                  <w:tcBorders>
                    <w:top w:val="outset" w:sz="8" w:space="0" w:color="000000"/>
                    <w:left w:val="outset" w:sz="8" w:space="0" w:color="000000"/>
                    <w:bottom w:val="outset" w:sz="8" w:space="0" w:color="000000"/>
                    <w:right w:val="outset" w:sz="8" w:space="0" w:color="000000"/>
                  </w:tcBorders>
                  <w:vAlign w:val="center"/>
                </w:tcPr>
                <w:p w14:paraId="1CA175B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13810393,41</w:t>
                  </w:r>
                </w:p>
              </w:tc>
              <w:tc>
                <w:tcPr>
                  <w:tcW w:w="581" w:type="dxa"/>
                  <w:tcBorders>
                    <w:top w:val="outset" w:sz="8" w:space="0" w:color="000000"/>
                    <w:left w:val="outset" w:sz="8" w:space="0" w:color="000000"/>
                    <w:bottom w:val="outset" w:sz="8" w:space="0" w:color="000000"/>
                    <w:right w:val="outset" w:sz="8" w:space="0" w:color="000000"/>
                  </w:tcBorders>
                  <w:vAlign w:val="center"/>
                </w:tcPr>
                <w:p w14:paraId="792D5CC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14613663,34</w:t>
                  </w:r>
                </w:p>
              </w:tc>
            </w:tr>
            <w:tr w:rsidR="00CF1710" w:rsidRPr="00CF1710" w14:paraId="28F34B6D"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BFB65B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8.3</w:t>
                  </w:r>
                </w:p>
              </w:tc>
              <w:tc>
                <w:tcPr>
                  <w:tcW w:w="1493" w:type="dxa"/>
                  <w:tcBorders>
                    <w:top w:val="outset" w:sz="8" w:space="0" w:color="000000"/>
                    <w:left w:val="outset" w:sz="8" w:space="0" w:color="000000"/>
                    <w:bottom w:val="outset" w:sz="8" w:space="0" w:color="000000"/>
                    <w:right w:val="outset" w:sz="8" w:space="0" w:color="000000"/>
                  </w:tcBorders>
                  <w:vAlign w:val="center"/>
                </w:tcPr>
                <w:p w14:paraId="467AAFDE"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інші джерела</w:t>
                  </w:r>
                </w:p>
              </w:tc>
              <w:tc>
                <w:tcPr>
                  <w:tcW w:w="1227" w:type="dxa"/>
                  <w:tcBorders>
                    <w:top w:val="outset" w:sz="8" w:space="0" w:color="000000"/>
                    <w:left w:val="outset" w:sz="8" w:space="0" w:color="000000"/>
                    <w:bottom w:val="outset" w:sz="8" w:space="0" w:color="000000"/>
                    <w:right w:val="outset" w:sz="8" w:space="0" w:color="000000"/>
                  </w:tcBorders>
                  <w:vAlign w:val="center"/>
                </w:tcPr>
                <w:p w14:paraId="6BB9B7E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6632912,06</w:t>
                  </w:r>
                </w:p>
              </w:tc>
              <w:tc>
                <w:tcPr>
                  <w:tcW w:w="1227" w:type="dxa"/>
                  <w:tcBorders>
                    <w:top w:val="outset" w:sz="8" w:space="0" w:color="000000"/>
                    <w:left w:val="outset" w:sz="8" w:space="0" w:color="000000"/>
                    <w:bottom w:val="outset" w:sz="8" w:space="0" w:color="000000"/>
                    <w:right w:val="outset" w:sz="8" w:space="0" w:color="000000"/>
                  </w:tcBorders>
                  <w:vAlign w:val="center"/>
                </w:tcPr>
                <w:p w14:paraId="4ED20EF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1606597,66</w:t>
                  </w:r>
                </w:p>
              </w:tc>
              <w:tc>
                <w:tcPr>
                  <w:tcW w:w="1227" w:type="dxa"/>
                  <w:tcBorders>
                    <w:top w:val="outset" w:sz="8" w:space="0" w:color="000000"/>
                    <w:left w:val="outset" w:sz="8" w:space="0" w:color="000000"/>
                    <w:bottom w:val="outset" w:sz="8" w:space="0" w:color="000000"/>
                    <w:right w:val="outset" w:sz="8" w:space="0" w:color="000000"/>
                  </w:tcBorders>
                  <w:vAlign w:val="center"/>
                </w:tcPr>
                <w:p w14:paraId="6B94C39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1156731,96</w:t>
                  </w:r>
                </w:p>
              </w:tc>
              <w:tc>
                <w:tcPr>
                  <w:tcW w:w="1227" w:type="dxa"/>
                  <w:tcBorders>
                    <w:top w:val="outset" w:sz="8" w:space="0" w:color="000000"/>
                    <w:left w:val="outset" w:sz="8" w:space="0" w:color="000000"/>
                    <w:bottom w:val="outset" w:sz="8" w:space="0" w:color="000000"/>
                    <w:right w:val="outset" w:sz="8" w:space="0" w:color="000000"/>
                  </w:tcBorders>
                  <w:vAlign w:val="center"/>
                </w:tcPr>
                <w:p w14:paraId="45214C7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1862166,72</w:t>
                  </w:r>
                </w:p>
              </w:tc>
              <w:tc>
                <w:tcPr>
                  <w:tcW w:w="581" w:type="dxa"/>
                  <w:tcBorders>
                    <w:top w:val="outset" w:sz="8" w:space="0" w:color="000000"/>
                    <w:left w:val="outset" w:sz="8" w:space="0" w:color="000000"/>
                    <w:bottom w:val="outset" w:sz="8" w:space="0" w:color="000000"/>
                    <w:right w:val="outset" w:sz="8" w:space="0" w:color="000000"/>
                  </w:tcBorders>
                  <w:vAlign w:val="center"/>
                </w:tcPr>
                <w:p w14:paraId="297FDAA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2007415,72</w:t>
                  </w:r>
                </w:p>
              </w:tc>
            </w:tr>
          </w:tbl>
          <w:p w14:paraId="19D27DC8"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II. ВИЗНАЧЕННЯ ПРОБЛЕМ, НА РОЗВ'ЯЗАННЯ ЯКИХ СПРЯМОВАНА ПРОГРАМА</w:t>
            </w:r>
          </w:p>
          <w:p w14:paraId="3B302099"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Реалізація завдань і заходів міської цільової програми "Підтримка та розвиток галузі охорони здоров'я столиці" на 2024 - 2027 роки спрямована на досягнення оперативної цілі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 напряму 1.6 "Охорона здоров'я та здоровий спосіб життя",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w:t>
            </w:r>
          </w:p>
          <w:p w14:paraId="405F573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Міську цільову програму "Підтримка та розвиток галузі охорони здоров'я столиці" на 2024 - 2027 роки (далі - Програма) розроблено з урахуванням законів України "Про місцеве самоврядування в Україні", "Про забезпечення рівних прав та можливостей жінок і чоловіків", "Про місцеві державні адміністрації", "Про державні фінансові гарантії медичного обслуговування населення" (далі - Закон), Державної стратегії регіонального розвитку на 2021 - 2027 роки, затвердженої постановою Кабінету Міністрів України від 05 серпня 2020 року N 695, Концепції реформи фінансування системи охорони здоров'я, схваленої розпорядженням Кабінету Міністрів України від 30 листопада 2016 року N 1013-р (далі - Концепція реформи), Указу Президента України від 30 вересня 2019 року N 722/2019 "Про Цілі сталого розвитку України на період до 2030 року",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w:t>
            </w:r>
          </w:p>
          <w:p w14:paraId="24A287D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2020 року відповідно до Бюджетного кодексу України, Концепції реформи, Закону запроваджено нову модель фінансування закладів охорони здоров'я, яка передбачає перехід у використанні бюджетних коштів від утримання державних і комунальних лікувально-профілактичних закладів до оплати відповідних медичних послуг.</w:t>
            </w:r>
          </w:p>
          <w:p w14:paraId="0A42244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Оплата медичних послуг здійснюється Національною службою здоров'я України на підставі укладених договорів, згідно з тарифами та умовами, визначеними Порядком реалізації програми державних гарантій медичного обслуговування населення (далі - Порядок).</w:t>
            </w:r>
          </w:p>
          <w:p w14:paraId="2676F4E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Статтею 10 Закону передбачено, що оплаті за рахунок коштів Державного бюджету України підлягають лікарські засоби, які включені до Національного переліку основних лікарських засобів, затвердженого постановою Кабінету Міністрів України від 25 березня 2009 року N 333 "Деякі питання державного регулювання цін на лікарські засоби і вироби медичного призначення".</w:t>
            </w:r>
          </w:p>
          <w:p w14:paraId="3C9E7A2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Відповідно до частини першої статті 3 Закону України "Про державні фінансові гарантії медичного обслуговування населення" N </w:t>
            </w:r>
            <w:r w:rsidRPr="00CF1710">
              <w:rPr>
                <w:rFonts w:ascii="Times New Roman" w:hAnsi="Times New Roman" w:cs="Times New Roman"/>
                <w:sz w:val="24"/>
                <w:szCs w:val="24"/>
              </w:rPr>
              <w:lastRenderedPageBreak/>
              <w:t>2168-VIII від 19 жовтня 2017 року держава гарантує повну оплату згідно з тарифом, за рахунок коштів Державного бюджету України, надання громадянам необхідних медичних послуг та лікарських засобів, що передбачені програмою державних гарантій медичного обслуговування населення.</w:t>
            </w:r>
          </w:p>
          <w:p w14:paraId="26C1903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Як наслідок, забезпечення покращених умов перебування пацієнток і пацієнтів у закладах охорони здоров'я, упровадження в медичній практиці закладів охорони здоров'я сучасних підходів до лікування пацієнтів (технологічних, підвищення рівня виявлення захворюваності), оновлення матеріально-технічної бази, тарифи на медичні послуги, що оплачуються Національною службою здоров'я України, не покривають.</w:t>
            </w:r>
          </w:p>
          <w:p w14:paraId="6AC5C06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До того ж частиною п'ятою статті 3 цього Закону передбачено, що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здоров'я, зокрема щодо оновлення матеріально-технічної бази, капітального ремонту, реконструкції, а також місцеві програми надання населенню медичних послуг та інші програми в охороні здоров'я.</w:t>
            </w:r>
          </w:p>
          <w:p w14:paraId="3F7415E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Виникає необхідність у додаткових ресурсах для покращення умов перебування пацієнтів у закладах охорони здоров'я, подальшого оновлення матеріально-технічної бази, у тому числі придбання обладнання, з метою впровадження сучасних технологій у медичну практику та лікування, а отже - покращення якості медичної допомоги.</w:t>
            </w:r>
          </w:p>
          <w:p w14:paraId="63780B0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Протягом 2024 року в межах Програми, за рахунок коштів бюджету міста Києва, проведено капітальні ремонти на 94 об'єктах, на 2025 рік передбачено проведення ремонтів ще на 54 об'єктах, до того ж близько 175 об'єктів наразі потребують капітального ремонту. На 11 об'єктах у 2024 році проводили реконструкцію, реставрацію та будівництво, у 2025 році заплановано провести на - 8 об'єктах.</w:t>
            </w:r>
          </w:p>
          <w:p w14:paraId="0F4B6DB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2024 році в межах заходів із підвищення якості медичних послуг здійснено оновлення матеріально-технічної бази закладів охорони </w:t>
            </w:r>
            <w:r w:rsidRPr="00CF1710">
              <w:rPr>
                <w:rFonts w:ascii="Times New Roman" w:hAnsi="Times New Roman" w:cs="Times New Roman"/>
                <w:sz w:val="24"/>
                <w:szCs w:val="24"/>
              </w:rPr>
              <w:lastRenderedPageBreak/>
              <w:t>здоров'я шляхом придбання 690 одиниць обладнання. На 2025 рік заплановано закупити ще 119 одиниць сучасного медичного обладнання.</w:t>
            </w:r>
          </w:p>
          <w:p w14:paraId="5BBD20C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огляду на зазначене, продовження заходів із модернізації закладів охорони здоров'я є необхідною умовою для підвищення якості та доступності медичних послуг.</w:t>
            </w:r>
          </w:p>
          <w:p w14:paraId="01A06D6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Аналіз динаміки основних показників закладів охорони здоров'я комунальної власності територіальної громади міста Києва (далі - ЗОЗ) засвідчив, що в умовах воєнного стану у зв'язку зі збройною агресією Російської Федерації проти України, усі комунальні ЗОЗ продовжують функціонувати та надавати необхідну медичну допомогу всім, хто її потребує, у тому числі внутрішньо переміщеним особам і військовослужбовцям, до того ж збільшуються обсяги надання медичної допомоги.</w:t>
            </w:r>
          </w:p>
          <w:p w14:paraId="0292F2B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Так, у 2024 році в </w:t>
            </w:r>
            <w:proofErr w:type="spellStart"/>
            <w:r w:rsidRPr="00CF1710">
              <w:rPr>
                <w:rFonts w:ascii="Times New Roman" w:hAnsi="Times New Roman" w:cs="Times New Roman"/>
                <w:sz w:val="24"/>
                <w:szCs w:val="24"/>
              </w:rPr>
              <w:t>пологодопоміжних</w:t>
            </w:r>
            <w:proofErr w:type="spellEnd"/>
            <w:r w:rsidRPr="00CF1710">
              <w:rPr>
                <w:rFonts w:ascii="Times New Roman" w:hAnsi="Times New Roman" w:cs="Times New Roman"/>
                <w:sz w:val="24"/>
                <w:szCs w:val="24"/>
              </w:rPr>
              <w:t xml:space="preserve"> ЗОЗ народилося 20912 дітей, що на 946 дітей більше, ніж у 2023 році (2023 рік - 19966, 2022 рік - 17501).</w:t>
            </w:r>
          </w:p>
          <w:p w14:paraId="5A75796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стаціонарних закладах збільшилася кількість пролікованих хворих на 58201 особу та становила у 2024 році 519267 осіб (2023 рік - 461066), у тому числі пройшли лікування в стаціонарах міста 23790 військовослужбовців (2023 рік - 18327).</w:t>
            </w:r>
          </w:p>
          <w:p w14:paraId="67BFF2A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2024 році було проведено 205987 оперативних </w:t>
            </w:r>
            <w:proofErr w:type="spellStart"/>
            <w:r w:rsidRPr="00CF1710">
              <w:rPr>
                <w:rFonts w:ascii="Times New Roman" w:hAnsi="Times New Roman" w:cs="Times New Roman"/>
                <w:sz w:val="24"/>
                <w:szCs w:val="24"/>
              </w:rPr>
              <w:t>втручань</w:t>
            </w:r>
            <w:proofErr w:type="spellEnd"/>
            <w:r w:rsidRPr="00CF1710">
              <w:rPr>
                <w:rFonts w:ascii="Times New Roman" w:hAnsi="Times New Roman" w:cs="Times New Roman"/>
                <w:sz w:val="24"/>
                <w:szCs w:val="24"/>
              </w:rPr>
              <w:t xml:space="preserve"> (2023 рік - 180303), у тому числі 19326 військовослужбовцям (2023 рік - 11721).</w:t>
            </w:r>
          </w:p>
          <w:p w14:paraId="49CC7D5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Збільшилася кількість проведених кардіохірургічних операцій на 40 % </w:t>
            </w:r>
            <w:proofErr w:type="spellStart"/>
            <w:r w:rsidRPr="00CF1710">
              <w:rPr>
                <w:rFonts w:ascii="Times New Roman" w:hAnsi="Times New Roman" w:cs="Times New Roman"/>
                <w:sz w:val="24"/>
                <w:szCs w:val="24"/>
              </w:rPr>
              <w:t>порівнянно</w:t>
            </w:r>
            <w:proofErr w:type="spellEnd"/>
            <w:r w:rsidRPr="00CF1710">
              <w:rPr>
                <w:rFonts w:ascii="Times New Roman" w:hAnsi="Times New Roman" w:cs="Times New Roman"/>
                <w:sz w:val="24"/>
                <w:szCs w:val="24"/>
              </w:rPr>
              <w:t xml:space="preserve"> з 2023 роком - з 8036 у 2023 році до 11257 у 2024 році. У тому числі було проведено високотехнологічних операцій: з імплантації кардіостимулятора - 462 (2023 рік - 353), зі </w:t>
            </w:r>
            <w:proofErr w:type="spellStart"/>
            <w:r w:rsidRPr="00CF1710">
              <w:rPr>
                <w:rFonts w:ascii="Times New Roman" w:hAnsi="Times New Roman" w:cs="Times New Roman"/>
                <w:sz w:val="24"/>
                <w:szCs w:val="24"/>
              </w:rPr>
              <w:t>стентування</w:t>
            </w:r>
            <w:proofErr w:type="spellEnd"/>
            <w:r w:rsidRPr="00CF1710">
              <w:rPr>
                <w:rFonts w:ascii="Times New Roman" w:hAnsi="Times New Roman" w:cs="Times New Roman"/>
                <w:sz w:val="24"/>
                <w:szCs w:val="24"/>
              </w:rPr>
              <w:t xml:space="preserve"> коронарних артерій - 3445 (2023 рік - 2036); на відкритому серці - 440 (2023 рік - 362). Проведено нейрохірургічних операцій 5548 (2023 рік - 5937), операцій з </w:t>
            </w:r>
            <w:proofErr w:type="spellStart"/>
            <w:r w:rsidRPr="00CF1710">
              <w:rPr>
                <w:rFonts w:ascii="Times New Roman" w:hAnsi="Times New Roman" w:cs="Times New Roman"/>
                <w:sz w:val="24"/>
                <w:szCs w:val="24"/>
              </w:rPr>
              <w:t>ендопротезування</w:t>
            </w:r>
            <w:proofErr w:type="spellEnd"/>
            <w:r w:rsidRPr="00CF1710">
              <w:rPr>
                <w:rFonts w:ascii="Times New Roman" w:hAnsi="Times New Roman" w:cs="Times New Roman"/>
                <w:sz w:val="24"/>
                <w:szCs w:val="24"/>
              </w:rPr>
              <w:t xml:space="preserve"> суглобів - 4475 (2023 рік - 3621), операцій з імплантації штучних кришталиків - 3757 (2023 рік - 4542).</w:t>
            </w:r>
          </w:p>
          <w:p w14:paraId="44F0F41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Збільшилася кількість пролікованих хворих внаслідок гострого інфаркту міокарда - з 3101 у 2023 році до 3847 у 2024 рік. Слід зазначити, що летальність від цієї недуги знизилася до 15,1 % проти 19,3 % у 2023 році. Проліковано хворих внаслідок інсульту головного мозку 12260 (2023 рік - 11602), зменшення летальності з 16,8 % до 15,8 %.</w:t>
            </w:r>
          </w:p>
          <w:p w14:paraId="6AD17B8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Завдяки своєчасно проведеному лікуванню показник виживаності онкологічних хворих протягом п'яти і більше років після встановлення діагнозу залишається стабільним із тенденцією до зростання: у 2024 році він становив 70,5 %, що перевищує показник 2023 року (69 %).</w:t>
            </w:r>
          </w:p>
          <w:p w14:paraId="017E0F4B" w14:textId="77777777" w:rsidR="00CF1710" w:rsidRPr="00CF1710" w:rsidRDefault="00CF1710" w:rsidP="00CF1710">
            <w:pPr>
              <w:spacing w:after="75"/>
              <w:ind w:firstLine="240"/>
              <w:jc w:val="both"/>
              <w:rPr>
                <w:rFonts w:ascii="Times New Roman" w:hAnsi="Times New Roman" w:cs="Times New Roman"/>
                <w:sz w:val="24"/>
                <w:szCs w:val="24"/>
              </w:rPr>
            </w:pPr>
            <w:proofErr w:type="spellStart"/>
            <w:r w:rsidRPr="00CF1710">
              <w:rPr>
                <w:rFonts w:ascii="Times New Roman" w:hAnsi="Times New Roman" w:cs="Times New Roman"/>
                <w:sz w:val="24"/>
                <w:szCs w:val="24"/>
              </w:rPr>
              <w:t>Нутритивне</w:t>
            </w:r>
            <w:proofErr w:type="spellEnd"/>
            <w:r w:rsidRPr="00CF1710">
              <w:rPr>
                <w:rFonts w:ascii="Times New Roman" w:hAnsi="Times New Roman" w:cs="Times New Roman"/>
                <w:sz w:val="24"/>
                <w:szCs w:val="24"/>
              </w:rPr>
              <w:t xml:space="preserve"> харчування онкологічних хворих передбачено пунктом 7 Плану дій з реалізації у 2026 - 2028 роках Національної стратегії контролю злоякісних новоутворень на період до 2030 року, затвердженого розпорядженням Кабінету Міністрів України від 18 лютого 2026 року N 165-р "Про затвердження плану дій з реалізації у 2026 - 2028 роках Національної стратегії контролю злоякісних новоутворень на період до 2030 року", відіграє важливу роль у лікуванні онкологічних і паліативних пацієнтів, які потребують відповідного доступу до </w:t>
            </w:r>
            <w:proofErr w:type="spellStart"/>
            <w:r w:rsidRPr="00CF1710">
              <w:rPr>
                <w:rFonts w:ascii="Times New Roman" w:hAnsi="Times New Roman" w:cs="Times New Roman"/>
                <w:sz w:val="24"/>
                <w:szCs w:val="24"/>
              </w:rPr>
              <w:t>нутритивного</w:t>
            </w:r>
            <w:proofErr w:type="spellEnd"/>
            <w:r w:rsidRPr="00CF1710">
              <w:rPr>
                <w:rFonts w:ascii="Times New Roman" w:hAnsi="Times New Roman" w:cs="Times New Roman"/>
                <w:sz w:val="24"/>
                <w:szCs w:val="24"/>
              </w:rPr>
              <w:t xml:space="preserve"> харчування.</w:t>
            </w:r>
          </w:p>
          <w:p w14:paraId="5C1D6AE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Функціонують два заклади комунальної власності територіальної громади міста Києва, де здійснюються трансплантації органів і тканин (Комунальне некомерційне підприємство "Київський міський центр нефрології та гемодіалізу", Комунальне некомерційне підприємство "Київська міська клінічна лікарня N 1"). Загалом у 2024 році було проведено 80 трансплантацій органів та 74 трансплантації стовбурових клітин. У 2024 році Комунальне некомерційне підприємство "Київський міський центр нефрології та гемодіалізу" посів 2 рейтингове місце серед 28 закладів України, Комунальне некомерційне підприємство "Київська міська клінічна лікарня N 1" - 4 місце.</w:t>
            </w:r>
          </w:p>
          <w:p w14:paraId="6F9B757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Фінансування заходів Програми дало можливість у 2024 році безоплатно забезпечити 751 пацієнта слуховими апаратами в загальній кількості 931 одиниця (у 2023 рік - 824), 12 хворим було імплантовано </w:t>
            </w:r>
            <w:proofErr w:type="spellStart"/>
            <w:r w:rsidRPr="00CF1710">
              <w:rPr>
                <w:rFonts w:ascii="Times New Roman" w:hAnsi="Times New Roman" w:cs="Times New Roman"/>
                <w:sz w:val="24"/>
                <w:szCs w:val="24"/>
              </w:rPr>
              <w:t>кохлеарні</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імпланти</w:t>
            </w:r>
            <w:proofErr w:type="spellEnd"/>
            <w:r w:rsidRPr="00CF1710">
              <w:rPr>
                <w:rFonts w:ascii="Times New Roman" w:hAnsi="Times New Roman" w:cs="Times New Roman"/>
                <w:sz w:val="24"/>
                <w:szCs w:val="24"/>
              </w:rPr>
              <w:t xml:space="preserve"> (у 2023 рік - 2), причому зазначені операції вперше </w:t>
            </w:r>
            <w:r w:rsidRPr="00CF1710">
              <w:rPr>
                <w:rFonts w:ascii="Times New Roman" w:hAnsi="Times New Roman" w:cs="Times New Roman"/>
                <w:sz w:val="24"/>
                <w:szCs w:val="24"/>
              </w:rPr>
              <w:lastRenderedPageBreak/>
              <w:t xml:space="preserve">почали проводити на базі Комунального некомерційного підприємства "Свято-Михайлівська клінічна лікарня міста Києва". Крім того 12 пацієнтів забезпечено </w:t>
            </w:r>
            <w:proofErr w:type="spellStart"/>
            <w:r w:rsidRPr="00CF1710">
              <w:rPr>
                <w:rFonts w:ascii="Times New Roman" w:hAnsi="Times New Roman" w:cs="Times New Roman"/>
                <w:sz w:val="24"/>
                <w:szCs w:val="24"/>
              </w:rPr>
              <w:t>мовними</w:t>
            </w:r>
            <w:proofErr w:type="spellEnd"/>
            <w:r w:rsidRPr="00CF1710">
              <w:rPr>
                <w:rFonts w:ascii="Times New Roman" w:hAnsi="Times New Roman" w:cs="Times New Roman"/>
                <w:sz w:val="24"/>
                <w:szCs w:val="24"/>
              </w:rPr>
              <w:t xml:space="preserve"> процесорами. Збільшилася кількість хворих, яким проведено операції з приводу </w:t>
            </w:r>
            <w:proofErr w:type="spellStart"/>
            <w:r w:rsidRPr="00CF1710">
              <w:rPr>
                <w:rFonts w:ascii="Times New Roman" w:hAnsi="Times New Roman" w:cs="Times New Roman"/>
                <w:sz w:val="24"/>
                <w:szCs w:val="24"/>
              </w:rPr>
              <w:t>ендопротезування</w:t>
            </w:r>
            <w:proofErr w:type="spellEnd"/>
            <w:r w:rsidRPr="00CF1710">
              <w:rPr>
                <w:rFonts w:ascii="Times New Roman" w:hAnsi="Times New Roman" w:cs="Times New Roman"/>
                <w:sz w:val="24"/>
                <w:szCs w:val="24"/>
              </w:rPr>
              <w:t xml:space="preserve"> суглобів - 2710 (у 2023 рік - 1940), імплантації штучних кришталиків - 1519 (у 2023 рік - 1311), кардіохірургічні операції - 8763 (у 2023 році - 5112), нейрохірургічні операції - 1675 (у 2023 рік - 1183).</w:t>
            </w:r>
          </w:p>
          <w:p w14:paraId="39F62F1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зв'язку зі збройною агресією Російської Федерації та збільшенням кількості військовослужбовців Збройних Сил України, яких евакуйовують для стаціонарного лікування до закладів охорони здоров'я міста Києва, виникла необхідність поширити заходи Програми на таких осіб незалежно від зареєстрованого місця проживання (перебування).</w:t>
            </w:r>
          </w:p>
          <w:p w14:paraId="3479960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 умовах воєнного стану кількість хворих із тяжкими станами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xml:space="preserve"> значно збільшилася, значний ресурс отриманих коштів від Національної служби здоров'я України витрачається на виплату заробітної плати, забезпечення лікарськими засобами з Національного переліку основних лікарських засобів та загалом на утримання відділення.</w:t>
            </w:r>
          </w:p>
          <w:p w14:paraId="377DF42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Опікові хворі потребують додаткового ресурсу на лікування особливо з середнім та тяжким ступенем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яких за 2024 рік було проліковано близько 653 пацієнти.</w:t>
            </w:r>
          </w:p>
          <w:p w14:paraId="760CFD1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Загалом більшість стаціонарних хворих із хронічними та гострими станами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xml:space="preserve"> потребують додаткового ресурсу на лікування, лікувальне харчування тощо.</w:t>
            </w:r>
          </w:p>
          <w:p w14:paraId="6B567C0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До тарифів на медичні послуги, що фінансуються за рахунок програми медичних гарантій, не включається вартість лікарських засобів, медичних виробів і витратних матеріалів, які підлягають централізованому забезпеченню за кошти інших державних програм, до того ж переліки відповідних </w:t>
            </w:r>
            <w:proofErr w:type="spellStart"/>
            <w:r w:rsidRPr="00CF1710">
              <w:rPr>
                <w:rFonts w:ascii="Times New Roman" w:hAnsi="Times New Roman" w:cs="Times New Roman"/>
                <w:sz w:val="24"/>
                <w:szCs w:val="24"/>
              </w:rPr>
              <w:t>номенклатур</w:t>
            </w:r>
            <w:proofErr w:type="spellEnd"/>
            <w:r w:rsidRPr="00CF1710">
              <w:rPr>
                <w:rFonts w:ascii="Times New Roman" w:hAnsi="Times New Roman" w:cs="Times New Roman"/>
                <w:sz w:val="24"/>
                <w:szCs w:val="24"/>
              </w:rPr>
              <w:t xml:space="preserve">, визначені постановою Кабінету Міністрів України від 07 березня 2022 року N 216, не охоплюють повного обсягу необхідних позицій, а постачання </w:t>
            </w:r>
            <w:r w:rsidRPr="00CF1710">
              <w:rPr>
                <w:rFonts w:ascii="Times New Roman" w:hAnsi="Times New Roman" w:cs="Times New Roman"/>
                <w:sz w:val="24"/>
                <w:szCs w:val="24"/>
              </w:rPr>
              <w:lastRenderedPageBreak/>
              <w:t>здійснюється несвоєчасно та в обсягах, що не забезпечують фактичної потреби пацієнтів столиці. Постановою Кабінету Міністрів України від 30 грудня 2022 року N 1483 "Про реалізацію експериментального проекту з впровадження та функціонування електронної системи управління запасами лікарських засобів та медичних виробів "e-</w:t>
            </w:r>
            <w:proofErr w:type="spellStart"/>
            <w:r w:rsidRPr="00CF1710">
              <w:rPr>
                <w:rFonts w:ascii="Times New Roman" w:hAnsi="Times New Roman" w:cs="Times New Roman"/>
                <w:sz w:val="24"/>
                <w:szCs w:val="24"/>
              </w:rPr>
              <w:t>Stock</w:t>
            </w:r>
            <w:proofErr w:type="spellEnd"/>
            <w:r w:rsidRPr="00CF1710">
              <w:rPr>
                <w:rFonts w:ascii="Times New Roman" w:hAnsi="Times New Roman" w:cs="Times New Roman"/>
                <w:sz w:val="24"/>
                <w:szCs w:val="24"/>
              </w:rPr>
              <w:t>" передбачається затвердження Київською міською державною адміністрацією заходів щодо забезпечення лікарськими засобами та спеціалізованими харчовими продуктами громадян, які страждають на рідкісні (</w:t>
            </w:r>
            <w:proofErr w:type="spellStart"/>
            <w:r w:rsidRPr="00CF1710">
              <w:rPr>
                <w:rFonts w:ascii="Times New Roman" w:hAnsi="Times New Roman" w:cs="Times New Roman"/>
                <w:sz w:val="24"/>
                <w:szCs w:val="24"/>
              </w:rPr>
              <w:t>орфанні</w:t>
            </w:r>
            <w:proofErr w:type="spellEnd"/>
            <w:r w:rsidRPr="00CF1710">
              <w:rPr>
                <w:rFonts w:ascii="Times New Roman" w:hAnsi="Times New Roman" w:cs="Times New Roman"/>
                <w:sz w:val="24"/>
                <w:szCs w:val="24"/>
              </w:rPr>
              <w:t>) захворювання, за рахунок коштів місцевого бюджету.</w:t>
            </w:r>
          </w:p>
          <w:p w14:paraId="6FDFF69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Слід зауважити, що частиною третьою статті 4 Закону визначено, що медичні послуги, лікарські засоби та медичні вироби, не включені до програми медичних гарантій, не підлягають оплаті за рахунок коштів Державного бюджету України, передбачених на реалізацію програми медичних гарантій, але можуть покриватися за рахунок коштів Державного бюджету України, передбачених на реалізацію відповідних державних програм і заходів, місцевих бюджетів, медичного страхування, юридичних і фізичних осіб та з інших джерел, не заборонених законодавством. Також, статтею 32 Закону України "Про місцеве самоврядування в Україні" до відання виконавчих органів сільських, селищних, міських рад належать делеговані повноваження, зокрема, віднесено забезпечення доступності та безоплатності медичного обслуговування на відповідній території, забезпечення відповідно до законодавства пільгових категорій населення лікарськими засобами та медичними виробами, забезпечення розвитку всіх видів медичного обслуговування.</w:t>
            </w:r>
          </w:p>
          <w:p w14:paraId="7E051DE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Пацієнти з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xml:space="preserve"> захворюваннями, розсіяним склерозом, первинними </w:t>
            </w:r>
            <w:proofErr w:type="spellStart"/>
            <w:r w:rsidRPr="00CF1710">
              <w:rPr>
                <w:rFonts w:ascii="Times New Roman" w:hAnsi="Times New Roman" w:cs="Times New Roman"/>
                <w:sz w:val="24"/>
                <w:szCs w:val="24"/>
              </w:rPr>
              <w:t>імунодефіцитами</w:t>
            </w:r>
            <w:proofErr w:type="spellEnd"/>
            <w:r w:rsidRPr="00CF1710">
              <w:rPr>
                <w:rFonts w:ascii="Times New Roman" w:hAnsi="Times New Roman" w:cs="Times New Roman"/>
                <w:sz w:val="24"/>
                <w:szCs w:val="24"/>
              </w:rPr>
              <w:t xml:space="preserve"> тощо, які перебувають під диспансерним наглядом, потребують безперервного медикаментозного лікування, витрати на яке не забезпечуються в повному обсязі за рахунок державної програми, що зумовлює потребу в додатковому місцевому фінансуванні.</w:t>
            </w:r>
          </w:p>
          <w:p w14:paraId="2558452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 xml:space="preserve">Окремо слід зазначити, що в межах державної програми "Доступні ліки" пацієнти з поширеними хронічними захворюваннями, зокрема серцево-судинними, бронхіальною астмою, цукровим діабетом, мають право на безоплатне або частково оплачуване забезпечення певними групами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необхідних лікарських засобів, що значно підвищує рівень доступності медикаментозної допомоги, однак не покриває повного спектра забезпечення потреб мешканців столиці.</w:t>
            </w:r>
          </w:p>
          <w:p w14:paraId="4661280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Безоплатний або пільговий відпуск лікарських засобів за рецептами лікарів у разі амбулаторного лікування для окремих груп населення та за визначеними категоріями захворювань передбачено постановою Кабінету Міністрів України від 17 серпня 1998 року N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до того ж відповідні витрати покриваються за рахунок коштів муніципальних програм.</w:t>
            </w:r>
          </w:p>
          <w:p w14:paraId="184A80D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Враховуючи викладене, забезпечення лікарськими засобами та медичними виробами є одним із ключових аспектів подальшого надання фінансової підтримки з бюджету міста Києва з метою гарантування доступності, своєчасності та безперервності медичної допомоги населенню.</w:t>
            </w:r>
          </w:p>
          <w:p w14:paraId="7D3DBD8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Протягом 2024 року 22 заклади охорони здоров'я міста Києва отримали кошти для безоплатного та пільгового відпуску лікарських засобів відповідно до постанови Кабінету Міністрів України від 17 серпня 1998 року N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 лікарськими засобами, що не ввійшли до програми "Доступні ліки". За звітний період з бюджету міста Києва було виділено кошти на загальну суму 160229,06 тис. грн, освоєно - 159674,80 тис. грн, що становить - 99,6 % від запланованого обсягу.</w:t>
            </w:r>
          </w:p>
          <w:p w14:paraId="449DB75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Саме Програма забезпечує підтримку пацієнтів із рідкісними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xml:space="preserve">) захворюваннями шляхом фінансування закупівлі </w:t>
            </w:r>
            <w:r w:rsidRPr="00CF1710">
              <w:rPr>
                <w:rFonts w:ascii="Times New Roman" w:hAnsi="Times New Roman" w:cs="Times New Roman"/>
                <w:sz w:val="24"/>
                <w:szCs w:val="24"/>
              </w:rPr>
              <w:lastRenderedPageBreak/>
              <w:t>лікарських засобів і медичних виробів, які не покриваються або лише частково забезпечуються за рахунок коштів державного бюджету, зокрема забезпечення:</w:t>
            </w:r>
          </w:p>
          <w:p w14:paraId="718E8A3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лікарськими засобами пацієнтів дитячого віку з передчасним статевим розвитком аналогами </w:t>
            </w:r>
            <w:proofErr w:type="spellStart"/>
            <w:r w:rsidRPr="00CF1710">
              <w:rPr>
                <w:rFonts w:ascii="Times New Roman" w:hAnsi="Times New Roman" w:cs="Times New Roman"/>
                <w:sz w:val="24"/>
                <w:szCs w:val="24"/>
              </w:rPr>
              <w:t>гонадотропін-рилізинг</w:t>
            </w:r>
            <w:proofErr w:type="spellEnd"/>
            <w:r w:rsidRPr="00CF1710">
              <w:rPr>
                <w:rFonts w:ascii="Times New Roman" w:hAnsi="Times New Roman" w:cs="Times New Roman"/>
                <w:sz w:val="24"/>
                <w:szCs w:val="24"/>
              </w:rPr>
              <w:t xml:space="preserve"> гормону, хворих на акромегалію, системну склеродермію, системні </w:t>
            </w:r>
            <w:proofErr w:type="spellStart"/>
            <w:r w:rsidRPr="00CF1710">
              <w:rPr>
                <w:rFonts w:ascii="Times New Roman" w:hAnsi="Times New Roman" w:cs="Times New Roman"/>
                <w:sz w:val="24"/>
                <w:szCs w:val="24"/>
              </w:rPr>
              <w:t>васкуліти</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спондилоартрити</w:t>
            </w:r>
            <w:proofErr w:type="spellEnd"/>
            <w:r w:rsidRPr="00CF1710">
              <w:rPr>
                <w:rFonts w:ascii="Times New Roman" w:hAnsi="Times New Roman" w:cs="Times New Roman"/>
                <w:sz w:val="24"/>
                <w:szCs w:val="24"/>
              </w:rPr>
              <w:t xml:space="preserve">, із </w:t>
            </w:r>
            <w:proofErr w:type="spellStart"/>
            <w:r w:rsidRPr="00CF1710">
              <w:rPr>
                <w:rFonts w:ascii="Times New Roman" w:hAnsi="Times New Roman" w:cs="Times New Roman"/>
                <w:sz w:val="24"/>
                <w:szCs w:val="24"/>
              </w:rPr>
              <w:t>демієлінізуючими</w:t>
            </w:r>
            <w:proofErr w:type="spellEnd"/>
            <w:r w:rsidRPr="00CF1710">
              <w:rPr>
                <w:rFonts w:ascii="Times New Roman" w:hAnsi="Times New Roman" w:cs="Times New Roman"/>
                <w:sz w:val="24"/>
                <w:szCs w:val="24"/>
              </w:rPr>
              <w:t xml:space="preserve"> захворюваннями нервової системи, </w:t>
            </w:r>
            <w:proofErr w:type="spellStart"/>
            <w:r w:rsidRPr="00CF1710">
              <w:rPr>
                <w:rFonts w:ascii="Times New Roman" w:hAnsi="Times New Roman" w:cs="Times New Roman"/>
                <w:sz w:val="24"/>
                <w:szCs w:val="24"/>
              </w:rPr>
              <w:t>ідіопатичну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тромбоцитопенічну</w:t>
            </w:r>
            <w:proofErr w:type="spellEnd"/>
            <w:r w:rsidRPr="00CF1710">
              <w:rPr>
                <w:rFonts w:ascii="Times New Roman" w:hAnsi="Times New Roman" w:cs="Times New Roman"/>
                <w:sz w:val="24"/>
                <w:szCs w:val="24"/>
              </w:rPr>
              <w:t xml:space="preserve"> пурпуру тощо;</w:t>
            </w:r>
          </w:p>
          <w:p w14:paraId="045A7B5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лікувальним харчуванням: хворих на </w:t>
            </w:r>
            <w:proofErr w:type="spellStart"/>
            <w:r w:rsidRPr="00CF1710">
              <w:rPr>
                <w:rFonts w:ascii="Times New Roman" w:hAnsi="Times New Roman" w:cs="Times New Roman"/>
                <w:sz w:val="24"/>
                <w:szCs w:val="24"/>
              </w:rPr>
              <w:t>тирозинемію</w:t>
            </w:r>
            <w:proofErr w:type="spellEnd"/>
            <w:r w:rsidRPr="00CF1710">
              <w:rPr>
                <w:rFonts w:ascii="Times New Roman" w:hAnsi="Times New Roman" w:cs="Times New Roman"/>
                <w:sz w:val="24"/>
                <w:szCs w:val="24"/>
              </w:rPr>
              <w:t xml:space="preserve">, пацієнтів дитячого віку, на </w:t>
            </w:r>
            <w:proofErr w:type="spellStart"/>
            <w:r w:rsidRPr="00CF1710">
              <w:rPr>
                <w:rFonts w:ascii="Times New Roman" w:hAnsi="Times New Roman" w:cs="Times New Roman"/>
                <w:sz w:val="24"/>
                <w:szCs w:val="24"/>
              </w:rPr>
              <w:t>метілмалонову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аміноацидурію</w:t>
            </w:r>
            <w:proofErr w:type="spellEnd"/>
            <w:r w:rsidRPr="00CF1710">
              <w:rPr>
                <w:rFonts w:ascii="Times New Roman" w:hAnsi="Times New Roman" w:cs="Times New Roman"/>
                <w:sz w:val="24"/>
                <w:szCs w:val="24"/>
              </w:rPr>
              <w:t xml:space="preserve">,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тощо.</w:t>
            </w:r>
          </w:p>
          <w:p w14:paraId="1E3A742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Загалом за кошти Програми протягом 2024 року забезпечено лікування більше ніж 1600 пацієнтів із рідкісними захворюваннями, що дало змогу своєчасно надати медичну допомогу та покращити якість життя осіб із тяжкими хронічними станами.</w:t>
            </w:r>
          </w:p>
          <w:p w14:paraId="4387A55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Слід зазначити, що пацієнти і пацієнтки, які перебувають під диспансерним наглядом (</w:t>
            </w:r>
            <w:proofErr w:type="spellStart"/>
            <w:r w:rsidRPr="00CF1710">
              <w:rPr>
                <w:rFonts w:ascii="Times New Roman" w:hAnsi="Times New Roman" w:cs="Times New Roman"/>
                <w:sz w:val="24"/>
                <w:szCs w:val="24"/>
              </w:rPr>
              <w:t>орфанні</w:t>
            </w:r>
            <w:proofErr w:type="spellEnd"/>
            <w:r w:rsidRPr="00CF1710">
              <w:rPr>
                <w:rFonts w:ascii="Times New Roman" w:hAnsi="Times New Roman" w:cs="Times New Roman"/>
                <w:sz w:val="24"/>
                <w:szCs w:val="24"/>
              </w:rPr>
              <w:t xml:space="preserve"> захворювання, розсіяний склероз, первинний імунодефіцит тощо), потребують безперервного лікування, але централізовані поставки медичних виробів і лікарських засобів за кошти державного бюджету та окремих державних програм і заходів програмного характеру не задовольняють фактичних потреб пацієнтів міста Києва в повному обсязі. Зокрема, забезпечення препаратами гормону росту для дітей, хворих на </w:t>
            </w:r>
            <w:proofErr w:type="spellStart"/>
            <w:r w:rsidRPr="00CF1710">
              <w:rPr>
                <w:rFonts w:ascii="Times New Roman" w:hAnsi="Times New Roman" w:cs="Times New Roman"/>
                <w:sz w:val="24"/>
                <w:szCs w:val="24"/>
              </w:rPr>
              <w:t>гіпофізарний</w:t>
            </w:r>
            <w:proofErr w:type="spellEnd"/>
            <w:r w:rsidRPr="00CF1710">
              <w:rPr>
                <w:rFonts w:ascii="Times New Roman" w:hAnsi="Times New Roman" w:cs="Times New Roman"/>
                <w:sz w:val="24"/>
                <w:szCs w:val="24"/>
              </w:rPr>
              <w:t xml:space="preserve"> нанізм та нанізм різного походження, становить лише 2,6 % від потреби для вікової групи до 10 років і 17,4 % - для дітей після 10 років, що в середньому становить лише 10 % від загальної потреби. Забезпечення лікарськими засобами хворих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дорназа</w:t>
            </w:r>
            <w:proofErr w:type="spellEnd"/>
            <w:r w:rsidRPr="00CF1710">
              <w:rPr>
                <w:rFonts w:ascii="Times New Roman" w:hAnsi="Times New Roman" w:cs="Times New Roman"/>
                <w:sz w:val="24"/>
                <w:szCs w:val="24"/>
              </w:rPr>
              <w:t xml:space="preserve"> альфа 2,5 мг - 19,6 %, </w:t>
            </w:r>
            <w:proofErr w:type="spellStart"/>
            <w:r w:rsidRPr="00CF1710">
              <w:rPr>
                <w:rFonts w:ascii="Times New Roman" w:hAnsi="Times New Roman" w:cs="Times New Roman"/>
                <w:sz w:val="24"/>
                <w:szCs w:val="24"/>
              </w:rPr>
              <w:t>колістиметат</w:t>
            </w:r>
            <w:proofErr w:type="spellEnd"/>
            <w:r w:rsidRPr="00CF1710">
              <w:rPr>
                <w:rFonts w:ascii="Times New Roman" w:hAnsi="Times New Roman" w:cs="Times New Roman"/>
                <w:sz w:val="24"/>
                <w:szCs w:val="24"/>
              </w:rPr>
              <w:t xml:space="preserve"> натрію - 48,6 %, панкреатин 25000 ОД - 30,8 %, панкреатин 10000 ОД - 67,9 %, середній рівень забезпечення - 41,7 %. Забезпечення лікарськими засобами хворих на ювенільний </w:t>
            </w:r>
            <w:proofErr w:type="spellStart"/>
            <w:r w:rsidRPr="00CF1710">
              <w:rPr>
                <w:rFonts w:ascii="Times New Roman" w:hAnsi="Times New Roman" w:cs="Times New Roman"/>
                <w:sz w:val="24"/>
                <w:szCs w:val="24"/>
              </w:rPr>
              <w:t>ревматоїдний</w:t>
            </w:r>
            <w:proofErr w:type="spellEnd"/>
            <w:r w:rsidRPr="00CF1710">
              <w:rPr>
                <w:rFonts w:ascii="Times New Roman" w:hAnsi="Times New Roman" w:cs="Times New Roman"/>
                <w:sz w:val="24"/>
                <w:szCs w:val="24"/>
              </w:rPr>
              <w:t xml:space="preserve"> артрит: середній рівень забезпечення - 32,9 % (залежно від препарату коливається від 1,4 % до 56,6 %). Забезпечення лікарськими засобами пацієнтів із хворобою </w:t>
            </w:r>
            <w:proofErr w:type="spellStart"/>
            <w:r w:rsidRPr="00CF1710">
              <w:rPr>
                <w:rFonts w:ascii="Times New Roman" w:hAnsi="Times New Roman" w:cs="Times New Roman"/>
                <w:sz w:val="24"/>
                <w:szCs w:val="24"/>
              </w:rPr>
              <w:t>Гоше</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таліглюцераза</w:t>
            </w:r>
            <w:proofErr w:type="spellEnd"/>
            <w:r w:rsidRPr="00CF1710">
              <w:rPr>
                <w:rFonts w:ascii="Times New Roman" w:hAnsi="Times New Roman" w:cs="Times New Roman"/>
                <w:sz w:val="24"/>
                <w:szCs w:val="24"/>
              </w:rPr>
              <w:t xml:space="preserve"> </w:t>
            </w:r>
            <w:r w:rsidRPr="00CF1710">
              <w:rPr>
                <w:rFonts w:ascii="Times New Roman" w:hAnsi="Times New Roman" w:cs="Times New Roman"/>
                <w:sz w:val="24"/>
                <w:szCs w:val="24"/>
              </w:rPr>
              <w:lastRenderedPageBreak/>
              <w:t xml:space="preserve">альфа - 118 % (надлишок сформовано за рахунок попереднього бюджетного року), </w:t>
            </w:r>
            <w:proofErr w:type="spellStart"/>
            <w:r w:rsidRPr="00CF1710">
              <w:rPr>
                <w:rFonts w:ascii="Times New Roman" w:hAnsi="Times New Roman" w:cs="Times New Roman"/>
                <w:sz w:val="24"/>
                <w:szCs w:val="24"/>
              </w:rPr>
              <w:t>велаглюцераза</w:t>
            </w:r>
            <w:proofErr w:type="spellEnd"/>
            <w:r w:rsidRPr="00CF1710">
              <w:rPr>
                <w:rFonts w:ascii="Times New Roman" w:hAnsi="Times New Roman" w:cs="Times New Roman"/>
                <w:sz w:val="24"/>
                <w:szCs w:val="24"/>
              </w:rPr>
              <w:t xml:space="preserve"> альфа - 67,5 %, </w:t>
            </w:r>
            <w:proofErr w:type="spellStart"/>
            <w:r w:rsidRPr="00CF1710">
              <w:rPr>
                <w:rFonts w:ascii="Times New Roman" w:hAnsi="Times New Roman" w:cs="Times New Roman"/>
                <w:sz w:val="24"/>
                <w:szCs w:val="24"/>
              </w:rPr>
              <w:t>іміглюцераза</w:t>
            </w:r>
            <w:proofErr w:type="spellEnd"/>
            <w:r w:rsidRPr="00CF1710">
              <w:rPr>
                <w:rFonts w:ascii="Times New Roman" w:hAnsi="Times New Roman" w:cs="Times New Roman"/>
                <w:sz w:val="24"/>
                <w:szCs w:val="24"/>
              </w:rPr>
              <w:t xml:space="preserve"> - 42,7 %, середній рівень забезпечення - 76 %. Забезпечення медичними виробами хворих на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із 17 позицій не закуплено 3, середній рівень забезпечення - 48,7 %. Забезпечення лікарськими засобами пацієнтів із хворобою Кавасакі: визначити рівень забезпечення неможливо через об'єднання номенклатури з медикаментами для пацієнтів із первинними </w:t>
            </w:r>
            <w:proofErr w:type="spellStart"/>
            <w:r w:rsidRPr="00CF1710">
              <w:rPr>
                <w:rFonts w:ascii="Times New Roman" w:hAnsi="Times New Roman" w:cs="Times New Roman"/>
                <w:sz w:val="24"/>
                <w:szCs w:val="24"/>
              </w:rPr>
              <w:t>імунодефіцитами</w:t>
            </w:r>
            <w:proofErr w:type="spellEnd"/>
            <w:r w:rsidRPr="00CF1710">
              <w:rPr>
                <w:rFonts w:ascii="Times New Roman" w:hAnsi="Times New Roman" w:cs="Times New Roman"/>
                <w:sz w:val="24"/>
                <w:szCs w:val="24"/>
              </w:rPr>
              <w:t xml:space="preserve">. Забезпечення лікарськими засобами хворих на легеневу гіпертензію: середній рівень забезпечення - 40,6 %, до того ж деякі препарати, зокрема </w:t>
            </w:r>
            <w:proofErr w:type="spellStart"/>
            <w:r w:rsidRPr="00CF1710">
              <w:rPr>
                <w:rFonts w:ascii="Times New Roman" w:hAnsi="Times New Roman" w:cs="Times New Roman"/>
                <w:sz w:val="24"/>
                <w:szCs w:val="24"/>
              </w:rPr>
              <w:t>Амбрізентан</w:t>
            </w:r>
            <w:proofErr w:type="spellEnd"/>
            <w:r w:rsidRPr="00CF1710">
              <w:rPr>
                <w:rFonts w:ascii="Times New Roman" w:hAnsi="Times New Roman" w:cs="Times New Roman"/>
                <w:sz w:val="24"/>
                <w:szCs w:val="24"/>
              </w:rPr>
              <w:t xml:space="preserve"> і </w:t>
            </w:r>
            <w:proofErr w:type="spellStart"/>
            <w:r w:rsidRPr="00CF1710">
              <w:rPr>
                <w:rFonts w:ascii="Times New Roman" w:hAnsi="Times New Roman" w:cs="Times New Roman"/>
                <w:sz w:val="24"/>
                <w:szCs w:val="24"/>
              </w:rPr>
              <w:t>Силденафіл</w:t>
            </w:r>
            <w:proofErr w:type="spellEnd"/>
            <w:r w:rsidRPr="00CF1710">
              <w:rPr>
                <w:rFonts w:ascii="Times New Roman" w:hAnsi="Times New Roman" w:cs="Times New Roman"/>
                <w:sz w:val="24"/>
                <w:szCs w:val="24"/>
              </w:rPr>
              <w:t xml:space="preserve">, не поставлені взагалі. Забезпечення лікарськими засобами для проведення замісної терапії хворим на </w:t>
            </w:r>
            <w:proofErr w:type="spellStart"/>
            <w:r w:rsidRPr="00CF1710">
              <w:rPr>
                <w:rFonts w:ascii="Times New Roman" w:hAnsi="Times New Roman" w:cs="Times New Roman"/>
                <w:sz w:val="24"/>
                <w:szCs w:val="24"/>
              </w:rPr>
              <w:t>коагулопатію</w:t>
            </w:r>
            <w:proofErr w:type="spellEnd"/>
            <w:r w:rsidRPr="00CF1710">
              <w:rPr>
                <w:rFonts w:ascii="Times New Roman" w:hAnsi="Times New Roman" w:cs="Times New Roman"/>
                <w:sz w:val="24"/>
                <w:szCs w:val="24"/>
              </w:rPr>
              <w:t xml:space="preserve">: рівень забезпечення для дорослих - 52,1 %, для дітей - 45,1 %. Забезпечення лікарськими засобами хворих на </w:t>
            </w:r>
            <w:proofErr w:type="spellStart"/>
            <w:r w:rsidRPr="00CF1710">
              <w:rPr>
                <w:rFonts w:ascii="Times New Roman" w:hAnsi="Times New Roman" w:cs="Times New Roman"/>
                <w:sz w:val="24"/>
                <w:szCs w:val="24"/>
              </w:rPr>
              <w:t>спінально</w:t>
            </w:r>
            <w:proofErr w:type="spellEnd"/>
            <w:r w:rsidRPr="00CF1710">
              <w:rPr>
                <w:rFonts w:ascii="Times New Roman" w:hAnsi="Times New Roman" w:cs="Times New Roman"/>
                <w:sz w:val="24"/>
                <w:szCs w:val="24"/>
              </w:rPr>
              <w:t>-м'язову атрофію: державний бюджет забезпечує лікування лише 4 дітей із захворюванням 1 типу, решта 12 пацієнтів отримують лікування виключно за рахунок коштів міста Києва.</w:t>
            </w:r>
          </w:p>
          <w:p w14:paraId="45DE968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Також слід зазначити, що закупівлі лікарських засобів, не включених до Національного переліку основних лікарських засобів, але визначених клінічними протоколами, настановами та стандартами лікування, затвердженими Міністерством охорони здоров'я України, можуть здійснюватися місцевими державними адміністраціями (військовими адміністраціями) і їхніми структурними підрозділами відповідно до висновку уповноваженого органу з державної оцінки медичних технологій, який включає проведення первинної та фахової експертизи щодо закупівлі відповідного лікарського засобу за конкретним медичним показанням.</w:t>
            </w:r>
          </w:p>
          <w:p w14:paraId="074295E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Отже, Програма відіграє ключову роль у забезпеченні безперервного доступу до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необхідних лікарських засобів та медичних виробів для пацієнтів із рідкісними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захворюваннями, що не покриваються державними програмами в повному обсязі.</w:t>
            </w:r>
          </w:p>
          <w:p w14:paraId="207DDAB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Враховуючи викладене, забезпечення лікарськими засобами й медичними виробами є ключовим аспектом подальшого надання </w:t>
            </w:r>
            <w:r w:rsidRPr="00CF1710">
              <w:rPr>
                <w:rFonts w:ascii="Times New Roman" w:hAnsi="Times New Roman" w:cs="Times New Roman"/>
                <w:sz w:val="24"/>
                <w:szCs w:val="24"/>
              </w:rPr>
              <w:lastRenderedPageBreak/>
              <w:t>фінансової підтримки з бюджету міста Києва з метою гарантування доступності, своєчасності та безперервності медичної допомоги населенню.</w:t>
            </w:r>
          </w:p>
          <w:p w14:paraId="173BAA5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На сьогодні в місті Києві функціонує КНП "Київський міський інформаційно-аналітичний центр медичної статистики" (далі - Центр), який здійснює реалізацію державної політики з питань медичної статистики, координацію діяльності закладів охорони здоров'я міста щодо збору, обробки й 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здоров'я столиці" на 2024 - 2027 роки, "Громадське здоров'я" на 2022 - 2025 роки.</w:t>
            </w:r>
          </w:p>
          <w:p w14:paraId="6702B6F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Питання доступності пацієнтів до медичних послуг наразі стоїть особливо гострим. Кияни, гості міста та внутрішньо переміщені особи, які хочуть отримати медичні послуги, змушені користуватись </w:t>
            </w:r>
            <w:proofErr w:type="spellStart"/>
            <w:r w:rsidRPr="00CF1710">
              <w:rPr>
                <w:rFonts w:ascii="Times New Roman" w:hAnsi="Times New Roman" w:cs="Times New Roman"/>
                <w:sz w:val="24"/>
                <w:szCs w:val="24"/>
              </w:rPr>
              <w:t>вебресурсами</w:t>
            </w:r>
            <w:proofErr w:type="spellEnd"/>
            <w:r w:rsidRPr="00CF1710">
              <w:rPr>
                <w:rFonts w:ascii="Times New Roman" w:hAnsi="Times New Roman" w:cs="Times New Roman"/>
                <w:sz w:val="24"/>
                <w:szCs w:val="24"/>
              </w:rPr>
              <w:t>, запитами й іншими засобами комунікації, що не завжди є ефективними та відображають реальну інформацію про можливість їх отримання. Водночас довідкова служба щодо медичних послуг, які надаються в медичних закладах міста Києва, відсутня.</w:t>
            </w:r>
          </w:p>
          <w:p w14:paraId="6E3279D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Чинне законодавство дає право здійснювати видатки лише в межах місцевих програм розвитку та підтримки комунальних закладів охорони здоров'я, які належать відповідним територіальним громадам (пункт 3 частини першої статті 89 Бюджетного кодексу України), зокрема, для забезпечення функціонування інформаційно-аналітичної системи, що здійснюється Центром.</w:t>
            </w:r>
          </w:p>
          <w:p w14:paraId="217867C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На сьогодні функціонування інформаційно-аналітичної системи галузі охорони здоров'я забезпечується Центром у межах виконання Програми.</w:t>
            </w:r>
          </w:p>
          <w:p w14:paraId="2332D65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результаті проведеної діяльності розпочато впровадження автоматизованого процесу збору й аналітичної обробки (розрахунок показників, графічна візуалізація, побудова аналітичних панелей тощо) статистичної звітності про стан здоров'я населення та діяльність </w:t>
            </w:r>
            <w:r w:rsidRPr="00CF1710">
              <w:rPr>
                <w:rFonts w:ascii="Times New Roman" w:hAnsi="Times New Roman" w:cs="Times New Roman"/>
                <w:sz w:val="24"/>
                <w:szCs w:val="24"/>
              </w:rPr>
              <w:lastRenderedPageBreak/>
              <w:t>закладів охорони здоров'я відповідно до наказів Міністерства охорони здоров'я України. Це сприятиме підвищенню ефективності на всіх етапах збору й аналізу статистичної інформації завдяки консолідації даних та використанню сучасних аналітичних інструментів, дасть змогу в оперативному режимі здійснювати інформаційно-аналітичне забезпечення процесу управління в охороні здоров'я міста Києва для прийняття своєчасних організаційно-управлінських рішень, що є надзвичайно важливою складовою під час дії воєнного стану.</w:t>
            </w:r>
          </w:p>
          <w:p w14:paraId="7055FAF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огляду на зазначене та з метою реалізації завдання 2.3 "Розвиток і забезпечення функціонування інформаційно-аналітичної системи галузі охорони здоров'я, пов'язаної зі збором, обробкою та аналізом медико-статистичної звітності"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виникає потреба щодо подальшого забезпечення функціонування інформаційно-аналітичної системи галузі охорони здоров'я міста Києва у 2024 - 2027 роках у частині виконання заходів, пов'язаних зі збором, обробкою, зберіганням та передачею медико-статистичної інформації, проведенням її аналізу для визначення основних тенденцій здоров'я населення тощо, що здійснюється Центром.</w:t>
            </w:r>
          </w:p>
          <w:p w14:paraId="2D8A698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Станом на сьогодні КНП "Центр екстреної медичної допомоги та медицини катастроф міста Києва" не має у власному користуванні спеціалізованих автомобілів екстреної (швидкої) медичної допомоги, які є необхідними для транспортування, мобілізації та перенесення пацієнтів, забезпечення дихальної підтримки, моніторингу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важливих функцій організму, проведення реанімаційних заходів.</w:t>
            </w:r>
          </w:p>
          <w:p w14:paraId="31FFC4C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Наявність сучасного спеціалізованого автотранспорту є важливою умовою для забезпечення своєчасного прибуття бригад екстреної (швидкої) медичної допомоги до мешканців міста, які потребують невідкладної медичної допомоги. Це </w:t>
            </w:r>
            <w:proofErr w:type="spellStart"/>
            <w:r w:rsidRPr="00CF1710">
              <w:rPr>
                <w:rFonts w:ascii="Times New Roman" w:hAnsi="Times New Roman" w:cs="Times New Roman"/>
                <w:sz w:val="24"/>
                <w:szCs w:val="24"/>
              </w:rPr>
              <w:t>надасть</w:t>
            </w:r>
            <w:proofErr w:type="spellEnd"/>
            <w:r w:rsidRPr="00CF1710">
              <w:rPr>
                <w:rFonts w:ascii="Times New Roman" w:hAnsi="Times New Roman" w:cs="Times New Roman"/>
                <w:sz w:val="24"/>
                <w:szCs w:val="24"/>
              </w:rPr>
              <w:t xml:space="preserve"> можливість дотримуватися встановлених нормативів прибуття бригад на місце події відповідно до постанови Кабінету Міністрів України від 16 </w:t>
            </w:r>
            <w:r w:rsidRPr="00CF1710">
              <w:rPr>
                <w:rFonts w:ascii="Times New Roman" w:hAnsi="Times New Roman" w:cs="Times New Roman"/>
                <w:sz w:val="24"/>
                <w:szCs w:val="24"/>
              </w:rPr>
              <w:lastRenderedPageBreak/>
              <w:t>грудня 2020 року N 1271 "Про норматив прибуття бригад екстреної (швидкої) медичної допомоги на місце події".</w:t>
            </w:r>
          </w:p>
          <w:p w14:paraId="3C2DB50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 метою виконання вимог своєчасного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бригад екстреної медичної допомоги на екстрені виклики та для реалізації оперативної цілі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постає питання забезпечення спеціальним і спеціалізованим автотранспортом КНП "Центр екстреної медичної допомоги та медицини катастроф міста Києва".</w:t>
            </w:r>
          </w:p>
          <w:p w14:paraId="4085BA9C" w14:textId="339A8757" w:rsidR="00CF1710" w:rsidRDefault="00CF1710" w:rsidP="00CF1710">
            <w:pPr>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Реалізація відповідного заходу Програми забезпечила дотримання вимог своєчасного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бригад екстреної медичної допомоги на екстрені виклики. Своєчасність надання екстреної медичної допомоги становила у 2024 році: частка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до 20 хв на екстрені випадки - 91,6 %, до 10 хв на критичні випадки - 98,5 %.</w:t>
            </w:r>
          </w:p>
          <w:p w14:paraId="4A46EEF8" w14:textId="0E2FCCA7" w:rsidR="00EE5802" w:rsidRPr="00B46E47" w:rsidRDefault="00B46E47" w:rsidP="00CF1710">
            <w:pPr>
              <w:ind w:firstLine="240"/>
              <w:jc w:val="both"/>
              <w:rPr>
                <w:rFonts w:ascii="Times New Roman" w:hAnsi="Times New Roman" w:cs="Times New Roman"/>
                <w:b/>
                <w:bCs/>
                <w:sz w:val="24"/>
                <w:szCs w:val="24"/>
              </w:rPr>
            </w:pPr>
            <w:r w:rsidRPr="00B46E47">
              <w:rPr>
                <w:rFonts w:ascii="Times New Roman" w:hAnsi="Times New Roman" w:cs="Times New Roman"/>
                <w:b/>
                <w:bCs/>
                <w:sz w:val="24"/>
                <w:szCs w:val="24"/>
              </w:rPr>
              <w:t>Текст відсутній</w:t>
            </w:r>
          </w:p>
          <w:p w14:paraId="2A8AD39E" w14:textId="2AE5253F" w:rsidR="00EE5802" w:rsidRDefault="00EE5802" w:rsidP="00CF1710">
            <w:pPr>
              <w:ind w:firstLine="240"/>
              <w:jc w:val="both"/>
              <w:rPr>
                <w:rFonts w:ascii="Times New Roman" w:hAnsi="Times New Roman" w:cs="Times New Roman"/>
                <w:sz w:val="24"/>
                <w:szCs w:val="24"/>
              </w:rPr>
            </w:pPr>
          </w:p>
          <w:p w14:paraId="33D2BB5A" w14:textId="366A40E4" w:rsidR="00EE5802" w:rsidRDefault="00EE5802" w:rsidP="00CF1710">
            <w:pPr>
              <w:ind w:firstLine="240"/>
              <w:jc w:val="both"/>
              <w:rPr>
                <w:rFonts w:ascii="Times New Roman" w:hAnsi="Times New Roman" w:cs="Times New Roman"/>
                <w:sz w:val="24"/>
                <w:szCs w:val="24"/>
              </w:rPr>
            </w:pPr>
          </w:p>
          <w:p w14:paraId="25483276" w14:textId="5DC4A538" w:rsidR="00EE5802" w:rsidRDefault="00EE5802" w:rsidP="00CF1710">
            <w:pPr>
              <w:ind w:firstLine="240"/>
              <w:jc w:val="both"/>
              <w:rPr>
                <w:rFonts w:ascii="Times New Roman" w:hAnsi="Times New Roman" w:cs="Times New Roman"/>
                <w:sz w:val="24"/>
                <w:szCs w:val="24"/>
              </w:rPr>
            </w:pPr>
          </w:p>
          <w:p w14:paraId="5C0332B4" w14:textId="01BD09AC" w:rsidR="00EE5802" w:rsidRDefault="00EE5802" w:rsidP="00CF1710">
            <w:pPr>
              <w:ind w:firstLine="240"/>
              <w:jc w:val="both"/>
              <w:rPr>
                <w:rFonts w:ascii="Times New Roman" w:hAnsi="Times New Roman" w:cs="Times New Roman"/>
                <w:sz w:val="24"/>
                <w:szCs w:val="24"/>
              </w:rPr>
            </w:pPr>
          </w:p>
          <w:p w14:paraId="4C28BCA3" w14:textId="51D9990D" w:rsidR="00EE5802" w:rsidRDefault="00EE5802" w:rsidP="00CF1710">
            <w:pPr>
              <w:ind w:firstLine="240"/>
              <w:jc w:val="both"/>
              <w:rPr>
                <w:rFonts w:ascii="Times New Roman" w:hAnsi="Times New Roman" w:cs="Times New Roman"/>
                <w:sz w:val="24"/>
                <w:szCs w:val="24"/>
              </w:rPr>
            </w:pPr>
          </w:p>
          <w:p w14:paraId="23D15E6B" w14:textId="321FE86B" w:rsidR="00EE5802" w:rsidRDefault="00EE5802" w:rsidP="00CF1710">
            <w:pPr>
              <w:ind w:firstLine="240"/>
              <w:jc w:val="both"/>
              <w:rPr>
                <w:rFonts w:ascii="Times New Roman" w:hAnsi="Times New Roman" w:cs="Times New Roman"/>
                <w:sz w:val="24"/>
                <w:szCs w:val="24"/>
              </w:rPr>
            </w:pPr>
          </w:p>
          <w:p w14:paraId="0D241788" w14:textId="3CA77AE6" w:rsidR="00EE5802" w:rsidRDefault="00EE5802" w:rsidP="00CF1710">
            <w:pPr>
              <w:ind w:firstLine="240"/>
              <w:jc w:val="both"/>
              <w:rPr>
                <w:rFonts w:ascii="Times New Roman" w:hAnsi="Times New Roman" w:cs="Times New Roman"/>
                <w:sz w:val="24"/>
                <w:szCs w:val="24"/>
              </w:rPr>
            </w:pPr>
          </w:p>
          <w:p w14:paraId="00228FC4" w14:textId="48F20D3F" w:rsidR="00EE5802" w:rsidRDefault="00EE5802" w:rsidP="00CF1710">
            <w:pPr>
              <w:ind w:firstLine="240"/>
              <w:jc w:val="both"/>
              <w:rPr>
                <w:rFonts w:ascii="Times New Roman" w:hAnsi="Times New Roman" w:cs="Times New Roman"/>
                <w:sz w:val="24"/>
                <w:szCs w:val="24"/>
              </w:rPr>
            </w:pPr>
          </w:p>
          <w:p w14:paraId="08F308D3" w14:textId="6EA64DD5" w:rsidR="00EE5802" w:rsidRDefault="00EE5802" w:rsidP="00CF1710">
            <w:pPr>
              <w:ind w:firstLine="240"/>
              <w:jc w:val="both"/>
              <w:rPr>
                <w:rFonts w:ascii="Times New Roman" w:hAnsi="Times New Roman" w:cs="Times New Roman"/>
                <w:sz w:val="24"/>
                <w:szCs w:val="24"/>
              </w:rPr>
            </w:pPr>
          </w:p>
          <w:p w14:paraId="7D04D3A5" w14:textId="3D38571B" w:rsidR="00EE5802" w:rsidRDefault="00EE5802" w:rsidP="00CF1710">
            <w:pPr>
              <w:ind w:firstLine="240"/>
              <w:jc w:val="both"/>
              <w:rPr>
                <w:rFonts w:ascii="Times New Roman" w:hAnsi="Times New Roman" w:cs="Times New Roman"/>
                <w:sz w:val="24"/>
                <w:szCs w:val="24"/>
              </w:rPr>
            </w:pPr>
          </w:p>
          <w:p w14:paraId="35726B85" w14:textId="01939673" w:rsidR="00EE5802" w:rsidRDefault="00EE5802" w:rsidP="00CF1710">
            <w:pPr>
              <w:ind w:firstLine="240"/>
              <w:jc w:val="both"/>
              <w:rPr>
                <w:rFonts w:ascii="Times New Roman" w:hAnsi="Times New Roman" w:cs="Times New Roman"/>
                <w:sz w:val="24"/>
                <w:szCs w:val="24"/>
              </w:rPr>
            </w:pPr>
          </w:p>
          <w:p w14:paraId="15FF780C" w14:textId="04AD15AB" w:rsidR="00EE5802" w:rsidRDefault="00EE5802" w:rsidP="00CF1710">
            <w:pPr>
              <w:ind w:firstLine="240"/>
              <w:jc w:val="both"/>
              <w:rPr>
                <w:rFonts w:ascii="Times New Roman" w:hAnsi="Times New Roman" w:cs="Times New Roman"/>
                <w:sz w:val="24"/>
                <w:szCs w:val="24"/>
              </w:rPr>
            </w:pPr>
          </w:p>
          <w:p w14:paraId="7F24EDAA" w14:textId="46BE7F37" w:rsidR="00EE5802" w:rsidRDefault="00EE5802" w:rsidP="00CF1710">
            <w:pPr>
              <w:ind w:firstLine="240"/>
              <w:jc w:val="both"/>
              <w:rPr>
                <w:rFonts w:ascii="Times New Roman" w:hAnsi="Times New Roman" w:cs="Times New Roman"/>
                <w:sz w:val="24"/>
                <w:szCs w:val="24"/>
              </w:rPr>
            </w:pPr>
          </w:p>
          <w:p w14:paraId="15234B28" w14:textId="0606FFC6" w:rsidR="00EE5802" w:rsidRDefault="00EE5802" w:rsidP="00CF1710">
            <w:pPr>
              <w:ind w:firstLine="240"/>
              <w:jc w:val="both"/>
              <w:rPr>
                <w:rFonts w:ascii="Times New Roman" w:hAnsi="Times New Roman" w:cs="Times New Roman"/>
                <w:sz w:val="24"/>
                <w:szCs w:val="24"/>
              </w:rPr>
            </w:pPr>
          </w:p>
          <w:p w14:paraId="558EF1EC" w14:textId="67E3BDE7" w:rsidR="00EE5802" w:rsidRDefault="00EE5802" w:rsidP="00CF1710">
            <w:pPr>
              <w:ind w:firstLine="240"/>
              <w:jc w:val="both"/>
              <w:rPr>
                <w:rFonts w:ascii="Times New Roman" w:hAnsi="Times New Roman" w:cs="Times New Roman"/>
                <w:sz w:val="24"/>
                <w:szCs w:val="24"/>
              </w:rPr>
            </w:pPr>
          </w:p>
          <w:p w14:paraId="26F93896" w14:textId="41FC9B06" w:rsidR="00EE5802" w:rsidRDefault="00EE5802" w:rsidP="00CF1710">
            <w:pPr>
              <w:ind w:firstLine="240"/>
              <w:jc w:val="both"/>
              <w:rPr>
                <w:rFonts w:ascii="Times New Roman" w:hAnsi="Times New Roman" w:cs="Times New Roman"/>
                <w:sz w:val="24"/>
                <w:szCs w:val="24"/>
              </w:rPr>
            </w:pPr>
          </w:p>
          <w:p w14:paraId="12D4086E" w14:textId="6B540FDE" w:rsidR="00EE5802" w:rsidRDefault="00EE5802" w:rsidP="00CF1710">
            <w:pPr>
              <w:ind w:firstLine="240"/>
              <w:jc w:val="both"/>
              <w:rPr>
                <w:rFonts w:ascii="Times New Roman" w:hAnsi="Times New Roman" w:cs="Times New Roman"/>
                <w:sz w:val="24"/>
                <w:szCs w:val="24"/>
              </w:rPr>
            </w:pPr>
          </w:p>
          <w:p w14:paraId="12F1A26D" w14:textId="5AF0DCEE" w:rsidR="00EE5802" w:rsidRDefault="00EE5802" w:rsidP="00CF1710">
            <w:pPr>
              <w:ind w:firstLine="240"/>
              <w:jc w:val="both"/>
              <w:rPr>
                <w:rFonts w:ascii="Times New Roman" w:hAnsi="Times New Roman" w:cs="Times New Roman"/>
                <w:sz w:val="24"/>
                <w:szCs w:val="24"/>
              </w:rPr>
            </w:pPr>
          </w:p>
          <w:p w14:paraId="34662584" w14:textId="4DBA14AA" w:rsidR="00B46E47" w:rsidRDefault="00B46E47" w:rsidP="00CF1710">
            <w:pPr>
              <w:ind w:firstLine="240"/>
              <w:jc w:val="both"/>
              <w:rPr>
                <w:rFonts w:ascii="Times New Roman" w:hAnsi="Times New Roman" w:cs="Times New Roman"/>
                <w:sz w:val="24"/>
                <w:szCs w:val="24"/>
              </w:rPr>
            </w:pPr>
          </w:p>
          <w:p w14:paraId="76B7A42F" w14:textId="77777777" w:rsidR="00B46E47" w:rsidRPr="00CF1710" w:rsidRDefault="00B46E47" w:rsidP="00CF1710">
            <w:pPr>
              <w:ind w:firstLine="240"/>
              <w:jc w:val="both"/>
              <w:rPr>
                <w:rFonts w:ascii="Times New Roman" w:hAnsi="Times New Roman" w:cs="Times New Roman"/>
                <w:sz w:val="24"/>
                <w:szCs w:val="24"/>
              </w:rPr>
            </w:pPr>
          </w:p>
          <w:p w14:paraId="7233E99C" w14:textId="3ADFB7CA" w:rsidR="00CF1710" w:rsidRPr="00CF1710" w:rsidRDefault="00EE5802" w:rsidP="00CF1710">
            <w:pPr>
              <w:ind w:firstLine="240"/>
              <w:jc w:val="both"/>
              <w:rPr>
                <w:rFonts w:ascii="Times New Roman" w:hAnsi="Times New Roman" w:cs="Times New Roman"/>
                <w:sz w:val="24"/>
                <w:szCs w:val="24"/>
              </w:rPr>
            </w:pPr>
            <w:r>
              <w:rPr>
                <w:rFonts w:ascii="Times New Roman" w:hAnsi="Times New Roman" w:cs="Times New Roman"/>
                <w:sz w:val="24"/>
                <w:szCs w:val="24"/>
              </w:rPr>
              <w:t>Ок</w:t>
            </w:r>
            <w:r w:rsidR="00CF1710" w:rsidRPr="00CF1710">
              <w:rPr>
                <w:rFonts w:ascii="Times New Roman" w:hAnsi="Times New Roman" w:cs="Times New Roman"/>
                <w:sz w:val="24"/>
                <w:szCs w:val="24"/>
              </w:rPr>
              <w:t>рім того, відбувається суттєве збільшення навантаження на лікарні, які забезпечують роботу 24/7, зокрема операційних, інфекційних відділень тощо. Починаючи з 01 січня 2025 року, у закладах охорони здоров'я запроваджено функціонування команд з оцінювання повсякденного функціонування особи.</w:t>
            </w:r>
          </w:p>
          <w:p w14:paraId="4C960CB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метою забезпечення безперебійної і якісної роботи закладів охорони здоров'я міста Києва, а також для належного виконання умов договорів у частині кадрового забезпечення, укладених із Національною службою здоров'я України, доцільним є збільшення виплат категоріям лікарів, які підлягають підтримці в межах реалізації заходу "Щомісячна безповоротна фінансова допомога" Програми.</w:t>
            </w:r>
          </w:p>
          <w:p w14:paraId="3371C86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зв'язку з внесенням змін до переліку спеціалізацій підготовки здобувачів вищої освіти ступеня магістра за спеціальністю "Технології медичної діагностики та лікування", якими передбачено підготовку </w:t>
            </w:r>
            <w:proofErr w:type="spellStart"/>
            <w:r w:rsidRPr="00CF1710">
              <w:rPr>
                <w:rFonts w:ascii="Times New Roman" w:hAnsi="Times New Roman" w:cs="Times New Roman"/>
                <w:sz w:val="24"/>
                <w:szCs w:val="24"/>
              </w:rPr>
              <w:lastRenderedPageBreak/>
              <w:t>ортезистів</w:t>
            </w:r>
            <w:proofErr w:type="spellEnd"/>
            <w:r w:rsidRPr="00CF1710">
              <w:rPr>
                <w:rFonts w:ascii="Times New Roman" w:hAnsi="Times New Roman" w:cs="Times New Roman"/>
                <w:sz w:val="24"/>
                <w:szCs w:val="24"/>
              </w:rPr>
              <w:t>-протезистів, виникла об'єктивна необхідність включення представників цієї спеціальності до переліку категорій медичних працівників, які мають право на отримання щомісячної безповоротної фінансової допомоги в межах реалізації заходів Програми.</w:t>
            </w:r>
          </w:p>
          <w:p w14:paraId="2F22ED8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Зважаючи на суттєве зростання кількості ампутацій, зокрема внаслідок бойових дій та збройної агресії Російської Федерації, особливої актуальності набуває питання забезпечення пацієнтів протезно-</w:t>
            </w:r>
            <w:proofErr w:type="spellStart"/>
            <w:r w:rsidRPr="00CF1710">
              <w:rPr>
                <w:rFonts w:ascii="Times New Roman" w:hAnsi="Times New Roman" w:cs="Times New Roman"/>
                <w:sz w:val="24"/>
                <w:szCs w:val="24"/>
              </w:rPr>
              <w:t>ортезними</w:t>
            </w:r>
            <w:proofErr w:type="spellEnd"/>
            <w:r w:rsidRPr="00CF1710">
              <w:rPr>
                <w:rFonts w:ascii="Times New Roman" w:hAnsi="Times New Roman" w:cs="Times New Roman"/>
                <w:sz w:val="24"/>
                <w:szCs w:val="24"/>
              </w:rPr>
              <w:t xml:space="preserve"> засобами реабілітації. Так, у 2024 році в комунальних закладах охорони здоров'я міста Києва медичну допомогу отримали близько 700 пацієнтів з ампутаціями, більшість із яких - військовослужбовці, та у 2025 році заплановано відкриття двох лабораторій протезування на базі комунальних медичних установ столиці.</w:t>
            </w:r>
          </w:p>
          <w:p w14:paraId="69FFAF3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зв'язку з цим включення </w:t>
            </w:r>
            <w:proofErr w:type="spellStart"/>
            <w:r w:rsidRPr="00CF1710">
              <w:rPr>
                <w:rFonts w:ascii="Times New Roman" w:hAnsi="Times New Roman" w:cs="Times New Roman"/>
                <w:sz w:val="24"/>
                <w:szCs w:val="24"/>
              </w:rPr>
              <w:t>ортезистів</w:t>
            </w:r>
            <w:proofErr w:type="spellEnd"/>
            <w:r w:rsidRPr="00CF1710">
              <w:rPr>
                <w:rFonts w:ascii="Times New Roman" w:hAnsi="Times New Roman" w:cs="Times New Roman"/>
                <w:sz w:val="24"/>
                <w:szCs w:val="24"/>
              </w:rPr>
              <w:t xml:space="preserve">-протезистів до переліку категорій медичних працівників, що мають право на отримання щомісячної безповоротної фінансової допомоги, є не лише обґрунтованим, а й стратегічно необхідним кроком для забезпечення безперервності реабілітаційного процесу, підвищення якості медичної допомоги, зменшення рівня </w:t>
            </w:r>
            <w:proofErr w:type="spellStart"/>
            <w:r w:rsidRPr="00CF1710">
              <w:rPr>
                <w:rFonts w:ascii="Times New Roman" w:hAnsi="Times New Roman" w:cs="Times New Roman"/>
                <w:sz w:val="24"/>
                <w:szCs w:val="24"/>
              </w:rPr>
              <w:t>інвалідизації</w:t>
            </w:r>
            <w:proofErr w:type="spellEnd"/>
            <w:r w:rsidRPr="00CF1710">
              <w:rPr>
                <w:rFonts w:ascii="Times New Roman" w:hAnsi="Times New Roman" w:cs="Times New Roman"/>
                <w:sz w:val="24"/>
                <w:szCs w:val="24"/>
              </w:rPr>
              <w:t xml:space="preserve"> населення та збереження кадрового потенціалу в цій критично важливій сфері.</w:t>
            </w:r>
          </w:p>
          <w:p w14:paraId="10F1698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Молодший медичний персонал, який працює в центрах первинної медико-санітарної допомоги, консультативно-діагностичних центрах та спеціалізованих закладах, має середньомісячну заробітну плату, розмір якої коливається від 10,3 до 10,7 тис. грн. У зв'язку з викладеним молодший медичний персонал зазначених закладів охорони здоров'я потребує додаткової фінансової підтримки.</w:t>
            </w:r>
          </w:p>
          <w:p w14:paraId="186B5C9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Враховуючи зазначене, у межах реалізації Програми потребують вирішення такі питання, зокрема: забезпечення належних умов та оновлення матеріально-технічної бази в закладах охорони здоров'я відповідно до сучасних вимог і стандартів; упровадження в медичну практику сучасних підходів до діагностики та лікування пацієнтів шляхом використання новітніх технологій, підвищення рівня раннього виявлення захворювань; забезпечення лікарськими засобами та </w:t>
            </w:r>
            <w:r w:rsidRPr="00CF1710">
              <w:rPr>
                <w:rFonts w:ascii="Times New Roman" w:hAnsi="Times New Roman" w:cs="Times New Roman"/>
                <w:sz w:val="24"/>
                <w:szCs w:val="24"/>
              </w:rPr>
              <w:lastRenderedPageBreak/>
              <w:t>медичними виробами, які не покриваються або частково покриваються програмою медичних гарантій, державними програмами та заходами програмного характеру; надання своєчасної й об'єктивної статистичної та аналітичної інформації про діяльність системи охорони здоров'я міста Києва з урахуванням актуальних викликів шляхом функціонування інформаційно-аналітичної системи, що включає збір і обробку медико-статистичної звітності, підготовку аналітичних довідників, методичних рекомендацій та інших інформаційних матеріалів для своєчасного прийняття організаційно-управлінських рішень; забезпечення своєчасного прибуття бригад екстреної медичної допомоги до мешканців міста Києва, які потребують невідкладної медичної допомоги; надання щомісячної безповоротної фінансової допомоги працівникам усіх закладів охорони здоров'я, визначеним у межах Програми.</w:t>
            </w:r>
          </w:p>
          <w:p w14:paraId="69CC6EFD"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III. ВИЗНАЧЕННЯ МЕТИ ПРОГРАМИ</w:t>
            </w:r>
          </w:p>
          <w:p w14:paraId="62CAC117"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Метою Програми є забезпечення мешканців міста Києва якісною, доступною та безоплатною медичною допомогою шляхом підтримки й розвитку комунальних закладів охорони здоров'я, а також підприємств, установ і організацій комунальної власності територіальної громади міста Києва, діяльність яких спрямована на розвиток галузі охорони здоров'я та забезпечення функціонування єдиного медичного простору, а також надання медичної допомоги військовослужбовцям Збройних Сил України, які отримали травми (поранення), ураження внаслідок збройної агресії Російської Федерації проти України, що відображено в медичній первинній обліковій документації,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w:t>
            </w:r>
          </w:p>
          <w:p w14:paraId="175E7FC0"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lastRenderedPageBreak/>
              <w:t>IV. ОБҐРУНТУВАННЯ ШЛЯХІВ І ЗАСОБІВ РОЗВ'ЯЗАННЯ ПРОБЛЕМ, ОБСЯГІВ ТА ДЖЕРЕЛ ФІНАНСУВАННЯ, СТРОКІВ ВИКОНАННЯ ПРОГРАМИ</w:t>
            </w:r>
          </w:p>
          <w:p w14:paraId="1F57ADE9"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Органи місцевого самоврядування мають право спрямовувати кошти місцевого бюджету на управління та розвиток комунальних закладів охорони здоров'я, зокрема на оновлення матеріально-технічної бази, проведення капітальних ремонтів, реконструкції й інших заходів у межах місцевих програм підтримки та розвитку галузі охорони здоров'я.</w:t>
            </w:r>
          </w:p>
          <w:p w14:paraId="01B7903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Крім того, місцева влада має можливість фінансувати надання додаткових медичних послуг мешканцям столиці, які не охоплені програмою державних гарантій медичного обслуговування населення, що сприяє розширенню доступу до безоплатної медичної допомоги та подальшому розвитку системи медичного обслуговування на місцевому рівні.</w:t>
            </w:r>
          </w:p>
          <w:p w14:paraId="7A24A69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Виконання завдань і заходів Програми сприятиме покращенню умов перебування пацієнтів у закладах охорони здоров'я, підвищенню ефективності діагностики та лікування шляхом упровадження сучасних медичних технологій у діагностиці й лікуванні.</w:t>
            </w:r>
          </w:p>
          <w:p w14:paraId="6B18889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Програма передбачає розвиток потенціалу медичних закладів шляхом будівництва, реконструкції, реставрації та проведення капітальних ремонтів закладів охорони здоров'я, що перебувають у комунальній власності територіальної громади міста Києва. Крім того, Програма передбачає оновлення матеріально-технічної бази та закупівлю сучасного медичного обладнання для забезпечення ефективного функціонування медичних установ і надання якісних медичних послуг.</w:t>
            </w:r>
          </w:p>
          <w:p w14:paraId="273CD23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Проблеми, пов'язані із забезпеченням лікарськими засобами й медичними виробами, які не покриваються або лише частково покриваються в межах програми медичних гарантій та окремих державних програм і заходів програмного характеру, вирішуватимуться шляхом закупівлі необхідних лікарських засобів і </w:t>
            </w:r>
            <w:r w:rsidRPr="00CF1710">
              <w:rPr>
                <w:rFonts w:ascii="Times New Roman" w:hAnsi="Times New Roman" w:cs="Times New Roman"/>
                <w:sz w:val="24"/>
                <w:szCs w:val="24"/>
              </w:rPr>
              <w:lastRenderedPageBreak/>
              <w:t xml:space="preserve">медичних виробів для пацієнтів із рідкісними та хронічними станами, які потребують </w:t>
            </w:r>
            <w:proofErr w:type="spellStart"/>
            <w:r w:rsidRPr="00CF1710">
              <w:rPr>
                <w:rFonts w:ascii="Times New Roman" w:hAnsi="Times New Roman" w:cs="Times New Roman"/>
                <w:sz w:val="24"/>
                <w:szCs w:val="24"/>
              </w:rPr>
              <w:t>пожиттєвого</w:t>
            </w:r>
            <w:proofErr w:type="spellEnd"/>
            <w:r w:rsidRPr="00CF1710">
              <w:rPr>
                <w:rFonts w:ascii="Times New Roman" w:hAnsi="Times New Roman" w:cs="Times New Roman"/>
                <w:sz w:val="24"/>
                <w:szCs w:val="24"/>
              </w:rPr>
              <w:t xml:space="preserve"> їх приймання.</w:t>
            </w:r>
          </w:p>
          <w:p w14:paraId="635934D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Окрему увагу в межах Програми буде приділено впровадженню сучасних клітинних і тканинних технологій, зокрема лікуванню із застосуванням культивованих </w:t>
            </w:r>
            <w:proofErr w:type="spellStart"/>
            <w:r w:rsidRPr="00CF1710">
              <w:rPr>
                <w:rFonts w:ascii="Times New Roman" w:hAnsi="Times New Roman" w:cs="Times New Roman"/>
                <w:sz w:val="24"/>
                <w:szCs w:val="24"/>
              </w:rPr>
              <w:t>мезенхімальних</w:t>
            </w:r>
            <w:proofErr w:type="spellEnd"/>
            <w:r w:rsidRPr="00CF1710">
              <w:rPr>
                <w:rFonts w:ascii="Times New Roman" w:hAnsi="Times New Roman" w:cs="Times New Roman"/>
                <w:sz w:val="24"/>
                <w:szCs w:val="24"/>
              </w:rPr>
              <w:t xml:space="preserve"> стовбурових клітин, що відкриває нові можливості в терапії складних і рідкісних патологій, а також у лікуванні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xml:space="preserve">. У цьому контексті планується розвиток лабораторії регенеративних біотехнологій, яка охоплюватиме напрями клітинної терапії, </w:t>
            </w:r>
            <w:proofErr w:type="spellStart"/>
            <w:r w:rsidRPr="00CF1710">
              <w:rPr>
                <w:rFonts w:ascii="Times New Roman" w:hAnsi="Times New Roman" w:cs="Times New Roman"/>
                <w:sz w:val="24"/>
                <w:szCs w:val="24"/>
              </w:rPr>
              <w:t>екзотерапії</w:t>
            </w:r>
            <w:proofErr w:type="spellEnd"/>
            <w:r w:rsidRPr="00CF1710">
              <w:rPr>
                <w:rFonts w:ascii="Times New Roman" w:hAnsi="Times New Roman" w:cs="Times New Roman"/>
                <w:sz w:val="24"/>
                <w:szCs w:val="24"/>
              </w:rPr>
              <w:t xml:space="preserve">, тканинної інженерії з виготовленням </w:t>
            </w:r>
            <w:proofErr w:type="spellStart"/>
            <w:r w:rsidRPr="00CF1710">
              <w:rPr>
                <w:rFonts w:ascii="Times New Roman" w:hAnsi="Times New Roman" w:cs="Times New Roman"/>
                <w:sz w:val="24"/>
                <w:szCs w:val="24"/>
              </w:rPr>
              <w:t>дермального</w:t>
            </w:r>
            <w:proofErr w:type="spellEnd"/>
            <w:r w:rsidRPr="00CF1710">
              <w:rPr>
                <w:rFonts w:ascii="Times New Roman" w:hAnsi="Times New Roman" w:cs="Times New Roman"/>
                <w:sz w:val="24"/>
                <w:szCs w:val="24"/>
              </w:rPr>
              <w:t xml:space="preserve"> еквівалента, еквівалента шкіри, еквівалента кістки для клінічного застосування в комбустіології, регенеративній ортопедії, естетичній медицині та пластичній хірургії, ендокринології, нефрології, неврології й інших сферах.</w:t>
            </w:r>
          </w:p>
          <w:p w14:paraId="704DD48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Таким чином, Програма спрямована на покращення матеріально-технічної бази медичних закладів та розширення доступу до високоякісного медичного безоплатного забезпечення для пацієнтів / пацієнток із тяжкими й рідкісними захворюваннями, що не покриваються в повному обсязі державними програмами.</w:t>
            </w:r>
          </w:p>
          <w:p w14:paraId="74E0365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Узагальнення статистичної звітності на рівні міста та забезпечення функціонування інформаційно-аналітичної системи галузі охорони здоров'я, яка охоплює збір, обробку медико-статистичної інформації, підготовку аналітичних довідників, методичних рекомендацій тощо, буде здійснюватися в межах заходу Програми "Забезпечення функціонування інформаційно-аналітичної системи галузі охорони здоров'я щодо збору, обробки, зберігання та передачі медико-статистичної інформації", що реалізується Центром.</w:t>
            </w:r>
          </w:p>
          <w:p w14:paraId="58923B1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Покращення показників своєчасного прибуття бригад екстреної медичної допомоги до мешканців міста Києва, які потребують невідкладної медичної допомоги, забезпечуватиметься шляхом надання централізованих послуг спеціалізованого автотранспорту для КНП "Центр екстреної медичної допомоги та медицини катастроф </w:t>
            </w:r>
            <w:r w:rsidRPr="00CF1710">
              <w:rPr>
                <w:rFonts w:ascii="Times New Roman" w:hAnsi="Times New Roman" w:cs="Times New Roman"/>
                <w:sz w:val="24"/>
                <w:szCs w:val="24"/>
              </w:rPr>
              <w:lastRenderedPageBreak/>
              <w:t>міста Києва", що дасть змогу оптимізувати процеси транспортування та реагування відповідно до нормативних вимог.</w:t>
            </w:r>
          </w:p>
          <w:p w14:paraId="634E9BA5" w14:textId="77777777" w:rsidR="003C0D53" w:rsidRPr="00B46E47" w:rsidRDefault="003C0D53" w:rsidP="003C0D53">
            <w:pPr>
              <w:ind w:firstLine="240"/>
              <w:jc w:val="both"/>
              <w:rPr>
                <w:rFonts w:ascii="Times New Roman" w:hAnsi="Times New Roman" w:cs="Times New Roman"/>
                <w:b/>
                <w:bCs/>
                <w:sz w:val="24"/>
                <w:szCs w:val="24"/>
              </w:rPr>
            </w:pPr>
            <w:r w:rsidRPr="00B46E47">
              <w:rPr>
                <w:rFonts w:ascii="Times New Roman" w:hAnsi="Times New Roman" w:cs="Times New Roman"/>
                <w:b/>
                <w:bCs/>
                <w:sz w:val="24"/>
                <w:szCs w:val="24"/>
              </w:rPr>
              <w:t>Текст відсутній</w:t>
            </w:r>
          </w:p>
          <w:p w14:paraId="31B2E55D" w14:textId="77777777" w:rsidR="003C0D53" w:rsidRDefault="003C0D53" w:rsidP="00CF1710">
            <w:pPr>
              <w:spacing w:after="75"/>
              <w:ind w:firstLine="240"/>
              <w:jc w:val="both"/>
              <w:rPr>
                <w:rFonts w:ascii="Times New Roman" w:hAnsi="Times New Roman" w:cs="Times New Roman"/>
                <w:sz w:val="24"/>
                <w:szCs w:val="24"/>
              </w:rPr>
            </w:pPr>
          </w:p>
          <w:p w14:paraId="605C67E2" w14:textId="77777777" w:rsidR="003C0D53" w:rsidRDefault="003C0D53" w:rsidP="00CF1710">
            <w:pPr>
              <w:spacing w:after="75"/>
              <w:ind w:firstLine="240"/>
              <w:jc w:val="both"/>
              <w:rPr>
                <w:rFonts w:ascii="Times New Roman" w:hAnsi="Times New Roman" w:cs="Times New Roman"/>
                <w:sz w:val="24"/>
                <w:szCs w:val="24"/>
              </w:rPr>
            </w:pPr>
          </w:p>
          <w:p w14:paraId="2607B0E9" w14:textId="77777777" w:rsidR="003C0D53" w:rsidRDefault="003C0D53" w:rsidP="00CF1710">
            <w:pPr>
              <w:spacing w:after="75"/>
              <w:ind w:firstLine="240"/>
              <w:jc w:val="both"/>
              <w:rPr>
                <w:rFonts w:ascii="Times New Roman" w:hAnsi="Times New Roman" w:cs="Times New Roman"/>
                <w:sz w:val="24"/>
                <w:szCs w:val="24"/>
              </w:rPr>
            </w:pPr>
          </w:p>
          <w:p w14:paraId="6A5A186D" w14:textId="77777777" w:rsidR="003C0D53" w:rsidRDefault="003C0D53" w:rsidP="00CF1710">
            <w:pPr>
              <w:spacing w:after="75"/>
              <w:ind w:firstLine="240"/>
              <w:jc w:val="both"/>
              <w:rPr>
                <w:rFonts w:ascii="Times New Roman" w:hAnsi="Times New Roman" w:cs="Times New Roman"/>
                <w:sz w:val="24"/>
                <w:szCs w:val="24"/>
              </w:rPr>
            </w:pPr>
          </w:p>
          <w:p w14:paraId="384E6C88" w14:textId="77777777" w:rsidR="003C0D53" w:rsidRDefault="003C0D53" w:rsidP="00CF1710">
            <w:pPr>
              <w:spacing w:after="75"/>
              <w:ind w:firstLine="240"/>
              <w:jc w:val="both"/>
              <w:rPr>
                <w:rFonts w:ascii="Times New Roman" w:hAnsi="Times New Roman" w:cs="Times New Roman"/>
                <w:sz w:val="24"/>
                <w:szCs w:val="24"/>
              </w:rPr>
            </w:pPr>
          </w:p>
          <w:p w14:paraId="109067B9" w14:textId="77777777" w:rsidR="003C0D53" w:rsidRDefault="003C0D53" w:rsidP="00CF1710">
            <w:pPr>
              <w:spacing w:after="75"/>
              <w:ind w:firstLine="240"/>
              <w:jc w:val="both"/>
              <w:rPr>
                <w:rFonts w:ascii="Times New Roman" w:hAnsi="Times New Roman" w:cs="Times New Roman"/>
                <w:sz w:val="24"/>
                <w:szCs w:val="24"/>
              </w:rPr>
            </w:pPr>
          </w:p>
          <w:p w14:paraId="6F55A5BA" w14:textId="77777777" w:rsidR="003C0D53" w:rsidRDefault="003C0D53" w:rsidP="00CF1710">
            <w:pPr>
              <w:spacing w:after="75"/>
              <w:ind w:firstLine="240"/>
              <w:jc w:val="both"/>
              <w:rPr>
                <w:rFonts w:ascii="Times New Roman" w:hAnsi="Times New Roman" w:cs="Times New Roman"/>
                <w:sz w:val="24"/>
                <w:szCs w:val="24"/>
              </w:rPr>
            </w:pPr>
          </w:p>
          <w:p w14:paraId="47A36AE7" w14:textId="77777777" w:rsidR="003C0D53" w:rsidRDefault="003C0D53" w:rsidP="00CF1710">
            <w:pPr>
              <w:spacing w:after="75"/>
              <w:ind w:firstLine="240"/>
              <w:jc w:val="both"/>
              <w:rPr>
                <w:rFonts w:ascii="Times New Roman" w:hAnsi="Times New Roman" w:cs="Times New Roman"/>
                <w:sz w:val="24"/>
                <w:szCs w:val="24"/>
              </w:rPr>
            </w:pPr>
          </w:p>
          <w:p w14:paraId="04349B89" w14:textId="77777777" w:rsidR="003C0D53" w:rsidRDefault="003C0D53" w:rsidP="00CF1710">
            <w:pPr>
              <w:spacing w:after="75"/>
              <w:ind w:firstLine="240"/>
              <w:jc w:val="both"/>
              <w:rPr>
                <w:rFonts w:ascii="Times New Roman" w:hAnsi="Times New Roman" w:cs="Times New Roman"/>
                <w:sz w:val="24"/>
                <w:szCs w:val="24"/>
              </w:rPr>
            </w:pPr>
          </w:p>
          <w:p w14:paraId="2FE36AD3" w14:textId="77777777" w:rsidR="003C0D53" w:rsidRDefault="003C0D53" w:rsidP="00CF1710">
            <w:pPr>
              <w:spacing w:after="75"/>
              <w:ind w:firstLine="240"/>
              <w:jc w:val="both"/>
              <w:rPr>
                <w:rFonts w:ascii="Times New Roman" w:hAnsi="Times New Roman" w:cs="Times New Roman"/>
                <w:sz w:val="24"/>
                <w:szCs w:val="24"/>
              </w:rPr>
            </w:pPr>
          </w:p>
          <w:p w14:paraId="26AE5F0E" w14:textId="77777777" w:rsidR="003C0D53" w:rsidRDefault="003C0D53" w:rsidP="00CF1710">
            <w:pPr>
              <w:spacing w:after="75"/>
              <w:ind w:firstLine="240"/>
              <w:jc w:val="both"/>
              <w:rPr>
                <w:rFonts w:ascii="Times New Roman" w:hAnsi="Times New Roman" w:cs="Times New Roman"/>
                <w:sz w:val="24"/>
                <w:szCs w:val="24"/>
              </w:rPr>
            </w:pPr>
          </w:p>
          <w:p w14:paraId="1F5187EA" w14:textId="77777777" w:rsidR="003C0D53" w:rsidRDefault="003C0D53" w:rsidP="00CF1710">
            <w:pPr>
              <w:spacing w:after="75"/>
              <w:ind w:firstLine="240"/>
              <w:jc w:val="both"/>
              <w:rPr>
                <w:rFonts w:ascii="Times New Roman" w:hAnsi="Times New Roman" w:cs="Times New Roman"/>
                <w:sz w:val="24"/>
                <w:szCs w:val="24"/>
              </w:rPr>
            </w:pPr>
          </w:p>
          <w:p w14:paraId="17E5A42E" w14:textId="77777777" w:rsidR="003C0D53" w:rsidRDefault="003C0D53" w:rsidP="00CF1710">
            <w:pPr>
              <w:spacing w:after="75"/>
              <w:ind w:firstLine="240"/>
              <w:jc w:val="both"/>
              <w:rPr>
                <w:rFonts w:ascii="Times New Roman" w:hAnsi="Times New Roman" w:cs="Times New Roman"/>
                <w:sz w:val="24"/>
                <w:szCs w:val="24"/>
              </w:rPr>
            </w:pPr>
          </w:p>
          <w:p w14:paraId="7918FD12" w14:textId="15D7EE82"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Питання доступності пацієнтів до медичних послуг пропонується вирішити шляхом створення на базі КНП "Київський міський інформаційно-аналітичний центр медичної статистики" медичної довідкової телефонної лінії.</w:t>
            </w:r>
          </w:p>
          <w:p w14:paraId="4EB18E0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Реалізація Програми також сприятиме:</w:t>
            </w:r>
          </w:p>
          <w:p w14:paraId="0CA2915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посиленню фінансової спроможності комунальних закладів охорони здоров'я міста Києва, а отже - розширенню доступу громадян до безоплатної медичної допомоги;</w:t>
            </w:r>
          </w:p>
          <w:p w14:paraId="4F9BE1B2" w14:textId="77777777" w:rsidR="003C0D53"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формуванню конкурентного середовища серед постачальників медичних послуг незалежно від форми власності, що сприятиме підвищенню якості медичної допомоги;</w:t>
            </w:r>
          </w:p>
          <w:p w14:paraId="0B5E6135" w14:textId="061ADCF9"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підвищенню якості надання медичних послуг і забезпеченню їх фізичної та фінансової доступності для мешканців / мешканок міста;</w:t>
            </w:r>
          </w:p>
          <w:p w14:paraId="3EC3F24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забезпеченню безперервності та доступності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7E32D80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Основна мета Програми - підвищення якості та доступності медичного обслуговування мешканців і мешканок столиці, а також забезпечення надання медичної допомоги військовослужбовцям Збройних Сил України. Розроблені завдання та заходи Програми орієнтовані насамперед на кінцевого споживача - жителів міста Києва, у тому числі медичних працівників, що відповідає пріоритетам соціально орієнтованої політики в сфері охорони здоров'я.</w:t>
            </w:r>
          </w:p>
          <w:p w14:paraId="7F96418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 підтримки міжнародних партнерів і провідних фахівців у сфері охорони здоров'я проводяться навчальні заходи для медичних працівників та постачається сучасне медичне обладнання.</w:t>
            </w:r>
          </w:p>
          <w:p w14:paraId="425CF93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 з метою забезпечення можливостей для безперервного професійного розвитку медичних працівників з урахуванням міжнародного досвіду, організовано серію тренінгів за адаптованими навчальними програмами. Практичні заняття, семінари та навчальні модулі, спрямовані на вдосконалення навичок у сфері ментального здоров'я, клінічних навичок сучасної діагностики й лікування, проводяться на постійній основі.</w:t>
            </w:r>
          </w:p>
          <w:p w14:paraId="03D181B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Зокрема, у межах співпраці з Ізраїльською коаліцією травми (ITC) організовано серію онлайн- і </w:t>
            </w:r>
            <w:proofErr w:type="spellStart"/>
            <w:r w:rsidRPr="00CF1710">
              <w:rPr>
                <w:rFonts w:ascii="Times New Roman" w:hAnsi="Times New Roman" w:cs="Times New Roman"/>
                <w:sz w:val="24"/>
                <w:szCs w:val="24"/>
              </w:rPr>
              <w:t>офлайн</w:t>
            </w:r>
            <w:proofErr w:type="spellEnd"/>
            <w:r w:rsidRPr="00CF1710">
              <w:rPr>
                <w:rFonts w:ascii="Times New Roman" w:hAnsi="Times New Roman" w:cs="Times New Roman"/>
                <w:sz w:val="24"/>
                <w:szCs w:val="24"/>
              </w:rPr>
              <w:t xml:space="preserve">-тренінгів для медичних працівників первинної ланки, стаціонарних установ та екстреної медичної допомоги. Тренінговий курс із реагування та надання психологічної допомоги під час стресових обставин від фахівців </w:t>
            </w:r>
            <w:r w:rsidRPr="00CF1710">
              <w:rPr>
                <w:rFonts w:ascii="Times New Roman" w:hAnsi="Times New Roman" w:cs="Times New Roman"/>
                <w:sz w:val="24"/>
                <w:szCs w:val="24"/>
              </w:rPr>
              <w:lastRenderedPageBreak/>
              <w:t xml:space="preserve">Ізраїльської коаліції травми пройшли близько 2000 медичних працівників. Наразі Департаментом спільно з Ізраїльською коаліцією травми започатковано новий навчальний флагманський для України проєкт для медичних працівників акушерсько-гінекологічних відділень </w:t>
            </w:r>
            <w:proofErr w:type="spellStart"/>
            <w:r w:rsidRPr="00CF1710">
              <w:rPr>
                <w:rFonts w:ascii="Times New Roman" w:hAnsi="Times New Roman" w:cs="Times New Roman"/>
                <w:sz w:val="24"/>
                <w:szCs w:val="24"/>
              </w:rPr>
              <w:t>пологодопоміжних</w:t>
            </w:r>
            <w:proofErr w:type="spellEnd"/>
            <w:r w:rsidRPr="00CF1710">
              <w:rPr>
                <w:rFonts w:ascii="Times New Roman" w:hAnsi="Times New Roman" w:cs="Times New Roman"/>
                <w:sz w:val="24"/>
                <w:szCs w:val="24"/>
              </w:rPr>
              <w:t xml:space="preserve"> закладів - "Інструменти та навички кризового реагування та психологічної допомоги вагітним, роділлям та породіллям".</w:t>
            </w:r>
          </w:p>
          <w:p w14:paraId="176AB91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Київською міською державною адміністрацією та україно-швейцарським </w:t>
            </w:r>
            <w:proofErr w:type="spellStart"/>
            <w:r w:rsidRPr="00CF1710">
              <w:rPr>
                <w:rFonts w:ascii="Times New Roman" w:hAnsi="Times New Roman" w:cs="Times New Roman"/>
                <w:sz w:val="24"/>
                <w:szCs w:val="24"/>
              </w:rPr>
              <w:t>проєктом</w:t>
            </w:r>
            <w:proofErr w:type="spellEnd"/>
            <w:r w:rsidRPr="00CF1710">
              <w:rPr>
                <w:rFonts w:ascii="Times New Roman" w:hAnsi="Times New Roman" w:cs="Times New Roman"/>
                <w:sz w:val="24"/>
                <w:szCs w:val="24"/>
              </w:rPr>
              <w:t xml:space="preserve"> MH4U (</w:t>
            </w:r>
            <w:proofErr w:type="spellStart"/>
            <w:r w:rsidRPr="00CF1710">
              <w:rPr>
                <w:rFonts w:ascii="Times New Roman" w:hAnsi="Times New Roman" w:cs="Times New Roman"/>
                <w:sz w:val="24"/>
                <w:szCs w:val="24"/>
              </w:rPr>
              <w:t>Mental</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Health</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for</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Ukraine</w:t>
            </w:r>
            <w:proofErr w:type="spellEnd"/>
            <w:r w:rsidRPr="00CF1710">
              <w:rPr>
                <w:rFonts w:ascii="Times New Roman" w:hAnsi="Times New Roman" w:cs="Times New Roman"/>
                <w:sz w:val="24"/>
                <w:szCs w:val="24"/>
              </w:rPr>
              <w:t>) підписано меморандум про співпрацю, спрямований на покращення доступу до послуг у сфері психічного здоров'я в місті Києві.</w:t>
            </w:r>
          </w:p>
          <w:p w14:paraId="744BEFF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Упродовж 2024 - 2027 років планується поетапне впровадження сучасних моделей надання психіатричної допомоги, підвищення рівня підготовки медичних і соціальних фахівців, а також реалізація інформаційно-просвітницьких кампаній серед населення щодо важливості дотримання принципів психічного добробуту.</w:t>
            </w:r>
          </w:p>
          <w:p w14:paraId="2040ADB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межах ініціативи Посольства Ізраїлю в Україні й Ізраїльського агентства з міжнародного співробітництва у сфері розвитку MASHAV на базі однієї зі столичних дитячих лікарень було продемонстровано практичне застосування надсучасних </w:t>
            </w:r>
            <w:proofErr w:type="spellStart"/>
            <w:r w:rsidRPr="00CF1710">
              <w:rPr>
                <w:rFonts w:ascii="Times New Roman" w:hAnsi="Times New Roman" w:cs="Times New Roman"/>
                <w:sz w:val="24"/>
                <w:szCs w:val="24"/>
              </w:rPr>
              <w:t>роботизованих</w:t>
            </w:r>
            <w:proofErr w:type="spellEnd"/>
            <w:r w:rsidRPr="00CF1710">
              <w:rPr>
                <w:rFonts w:ascii="Times New Roman" w:hAnsi="Times New Roman" w:cs="Times New Roman"/>
                <w:sz w:val="24"/>
                <w:szCs w:val="24"/>
              </w:rPr>
              <w:t xml:space="preserve"> реабілітаційних систем, спеціалізованого обладнання для дітей з аутизмом, а також модернізованих приладів для лабораторної діагностики, </w:t>
            </w:r>
            <w:proofErr w:type="spellStart"/>
            <w:r w:rsidRPr="00CF1710">
              <w:rPr>
                <w:rFonts w:ascii="Times New Roman" w:hAnsi="Times New Roman" w:cs="Times New Roman"/>
                <w:sz w:val="24"/>
                <w:szCs w:val="24"/>
              </w:rPr>
              <w:t>лапароскопічних</w:t>
            </w:r>
            <w:proofErr w:type="spellEnd"/>
            <w:r w:rsidRPr="00CF1710">
              <w:rPr>
                <w:rFonts w:ascii="Times New Roman" w:hAnsi="Times New Roman" w:cs="Times New Roman"/>
                <w:sz w:val="24"/>
                <w:szCs w:val="24"/>
              </w:rPr>
              <w:t xml:space="preserve"> операцій та обстежень, отриманих від міжнародних донорів.</w:t>
            </w:r>
          </w:p>
          <w:p w14:paraId="6C54418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За програмою Київської міської державної адміністрації та Департаменту охорони здоров'я міста Києва лікарні столиці з 2022 року на регулярній основі співпрацюють з мерією міста Брюсселя. За результатами співпраці у двох медичних закладах було відкрито відділення </w:t>
            </w:r>
            <w:proofErr w:type="spellStart"/>
            <w:r w:rsidRPr="00CF1710">
              <w:rPr>
                <w:rFonts w:ascii="Times New Roman" w:hAnsi="Times New Roman" w:cs="Times New Roman"/>
                <w:sz w:val="24"/>
                <w:szCs w:val="24"/>
              </w:rPr>
              <w:t>реконструктивно</w:t>
            </w:r>
            <w:proofErr w:type="spellEnd"/>
            <w:r w:rsidRPr="00CF1710">
              <w:rPr>
                <w:rFonts w:ascii="Times New Roman" w:hAnsi="Times New Roman" w:cs="Times New Roman"/>
                <w:sz w:val="24"/>
                <w:szCs w:val="24"/>
              </w:rPr>
              <w:t xml:space="preserve">-пластичної хірургії, оснащені сучасним </w:t>
            </w:r>
            <w:proofErr w:type="spellStart"/>
            <w:r w:rsidRPr="00CF1710">
              <w:rPr>
                <w:rFonts w:ascii="Times New Roman" w:hAnsi="Times New Roman" w:cs="Times New Roman"/>
                <w:sz w:val="24"/>
                <w:szCs w:val="24"/>
              </w:rPr>
              <w:t>дороговартісним</w:t>
            </w:r>
            <w:proofErr w:type="spellEnd"/>
            <w:r w:rsidRPr="00CF1710">
              <w:rPr>
                <w:rFonts w:ascii="Times New Roman" w:hAnsi="Times New Roman" w:cs="Times New Roman"/>
                <w:sz w:val="24"/>
                <w:szCs w:val="24"/>
              </w:rPr>
              <w:t xml:space="preserve"> устаткуванням. Це дало змогу впровадити нові методики лікування та надавати високоспеціалізовану хірургічну </w:t>
            </w:r>
            <w:r w:rsidRPr="00CF1710">
              <w:rPr>
                <w:rFonts w:ascii="Times New Roman" w:hAnsi="Times New Roman" w:cs="Times New Roman"/>
                <w:sz w:val="24"/>
                <w:szCs w:val="24"/>
              </w:rPr>
              <w:lastRenderedPageBreak/>
              <w:t>медичну допомогу киянам і внутрішньо переміщеним особам, переважно пораненим військовослужбовцям.</w:t>
            </w:r>
          </w:p>
          <w:p w14:paraId="7762DD4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Фінансове забезпечення заходів Програми здійснюватиметься відповідно до Бюджетного кодексу України за рахунок коштів бюджету міста Києва, а також коштів підприємств, установ, організацій та інших джерел, не заборонених законодавством.</w:t>
            </w:r>
          </w:p>
          <w:p w14:paraId="26CF520C" w14:textId="22D4B46E"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Загальний обсяг фінансових ресурсів, необхідних для реалізації Програми, становить - 59047960,56 тис. грн.</w:t>
            </w:r>
          </w:p>
          <w:tbl>
            <w:tblPr>
              <w:tblW w:w="0" w:type="auto"/>
              <w:tblInd w:w="115" w:type="dxa"/>
              <w:tblLook w:val="0000" w:firstRow="0" w:lastRow="0" w:firstColumn="0" w:lastColumn="0" w:noHBand="0" w:noVBand="0"/>
            </w:tblPr>
            <w:tblGrid>
              <w:gridCol w:w="1149"/>
              <w:gridCol w:w="1199"/>
              <w:gridCol w:w="1199"/>
              <w:gridCol w:w="1199"/>
              <w:gridCol w:w="1199"/>
              <w:gridCol w:w="1199"/>
            </w:tblGrid>
            <w:tr w:rsidR="00CF1710" w:rsidRPr="00CF1710" w14:paraId="4D0822D3" w14:textId="77777777" w:rsidTr="00A84088">
              <w:trPr>
                <w:trHeight w:val="45"/>
              </w:trPr>
              <w:tc>
                <w:tcPr>
                  <w:tcW w:w="844" w:type="dxa"/>
                  <w:vMerge w:val="restart"/>
                  <w:tcBorders>
                    <w:top w:val="outset" w:sz="8" w:space="0" w:color="000000"/>
                    <w:left w:val="outset" w:sz="8" w:space="0" w:color="000000"/>
                    <w:bottom w:val="outset" w:sz="8" w:space="0" w:color="000000"/>
                    <w:right w:val="outset" w:sz="8" w:space="0" w:color="000000"/>
                  </w:tcBorders>
                  <w:vAlign w:val="center"/>
                </w:tcPr>
                <w:p w14:paraId="070AA0E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Обсяги фінансових ресурсів, необхідних для реалізації Програми</w:t>
                  </w:r>
                </w:p>
              </w:tc>
              <w:tc>
                <w:tcPr>
                  <w:tcW w:w="992" w:type="dxa"/>
                  <w:vMerge w:val="restart"/>
                  <w:tcBorders>
                    <w:top w:val="outset" w:sz="8" w:space="0" w:color="000000"/>
                    <w:left w:val="outset" w:sz="8" w:space="0" w:color="000000"/>
                    <w:bottom w:val="outset" w:sz="8" w:space="0" w:color="000000"/>
                    <w:right w:val="outset" w:sz="8" w:space="0" w:color="000000"/>
                  </w:tcBorders>
                  <w:vAlign w:val="center"/>
                </w:tcPr>
                <w:p w14:paraId="3DCB467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Всього</w:t>
                  </w:r>
                  <w:r w:rsidRPr="00CF1710">
                    <w:rPr>
                      <w:rFonts w:ascii="Times New Roman" w:hAnsi="Times New Roman" w:cs="Times New Roman"/>
                      <w:sz w:val="19"/>
                      <w:szCs w:val="19"/>
                    </w:rPr>
                    <w:br/>
                    <w:t>(тис. грн)</w:t>
                  </w:r>
                </w:p>
              </w:tc>
              <w:tc>
                <w:tcPr>
                  <w:tcW w:w="5103" w:type="dxa"/>
                  <w:gridSpan w:val="4"/>
                  <w:tcBorders>
                    <w:top w:val="outset" w:sz="8" w:space="0" w:color="000000"/>
                    <w:left w:val="outset" w:sz="8" w:space="0" w:color="000000"/>
                    <w:bottom w:val="outset" w:sz="8" w:space="0" w:color="000000"/>
                    <w:right w:val="outset" w:sz="8" w:space="0" w:color="000000"/>
                  </w:tcBorders>
                  <w:vAlign w:val="center"/>
                </w:tcPr>
                <w:p w14:paraId="3A5AEB7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у тому числі за роками</w:t>
                  </w:r>
                </w:p>
              </w:tc>
            </w:tr>
            <w:tr w:rsidR="00CF1710" w:rsidRPr="00CF1710" w14:paraId="4E334EC9" w14:textId="77777777" w:rsidTr="00A84088">
              <w:trPr>
                <w:trHeight w:val="45"/>
              </w:trPr>
              <w:tc>
                <w:tcPr>
                  <w:tcW w:w="844" w:type="dxa"/>
                  <w:vMerge/>
                  <w:tcBorders>
                    <w:left w:val="outset" w:sz="8" w:space="0" w:color="000000"/>
                    <w:bottom w:val="outset" w:sz="8" w:space="0" w:color="000000"/>
                    <w:right w:val="outset" w:sz="8" w:space="0" w:color="000000"/>
                  </w:tcBorders>
                </w:tcPr>
                <w:p w14:paraId="4C2CD663" w14:textId="77777777" w:rsidR="00CF1710" w:rsidRPr="00CF1710" w:rsidRDefault="00CF1710" w:rsidP="00CF1710">
                  <w:pPr>
                    <w:widowControl w:val="0"/>
                    <w:spacing w:after="200"/>
                    <w:rPr>
                      <w:rFonts w:ascii="Times New Roman" w:hAnsi="Times New Roman" w:cs="Times New Roman"/>
                      <w:sz w:val="19"/>
                      <w:szCs w:val="19"/>
                    </w:rPr>
                  </w:pPr>
                </w:p>
              </w:tc>
              <w:tc>
                <w:tcPr>
                  <w:tcW w:w="992" w:type="dxa"/>
                  <w:vMerge/>
                  <w:tcBorders>
                    <w:left w:val="outset" w:sz="8" w:space="0" w:color="000000"/>
                    <w:bottom w:val="outset" w:sz="8" w:space="0" w:color="000000"/>
                    <w:right w:val="outset" w:sz="8" w:space="0" w:color="000000"/>
                  </w:tcBorders>
                </w:tcPr>
                <w:p w14:paraId="6F2976B8" w14:textId="77777777" w:rsidR="00CF1710" w:rsidRPr="00CF1710" w:rsidRDefault="00CF1710" w:rsidP="00CF1710">
                  <w:pPr>
                    <w:widowControl w:val="0"/>
                    <w:spacing w:after="200"/>
                    <w:rPr>
                      <w:rFonts w:ascii="Times New Roman" w:hAnsi="Times New Roman" w:cs="Times New Roman"/>
                      <w:sz w:val="19"/>
                      <w:szCs w:val="19"/>
                    </w:rPr>
                  </w:pPr>
                </w:p>
              </w:tc>
              <w:tc>
                <w:tcPr>
                  <w:tcW w:w="1276" w:type="dxa"/>
                  <w:tcBorders>
                    <w:top w:val="outset" w:sz="8" w:space="0" w:color="000000"/>
                    <w:left w:val="outset" w:sz="8" w:space="0" w:color="000000"/>
                    <w:bottom w:val="outset" w:sz="8" w:space="0" w:color="000000"/>
                    <w:right w:val="outset" w:sz="8" w:space="0" w:color="000000"/>
                  </w:tcBorders>
                  <w:vAlign w:val="center"/>
                </w:tcPr>
                <w:p w14:paraId="24BC5A1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w:t>
                  </w:r>
                </w:p>
              </w:tc>
              <w:tc>
                <w:tcPr>
                  <w:tcW w:w="1276" w:type="dxa"/>
                  <w:tcBorders>
                    <w:top w:val="outset" w:sz="8" w:space="0" w:color="000000"/>
                    <w:left w:val="outset" w:sz="8" w:space="0" w:color="000000"/>
                    <w:bottom w:val="outset" w:sz="8" w:space="0" w:color="000000"/>
                    <w:right w:val="outset" w:sz="8" w:space="0" w:color="000000"/>
                  </w:tcBorders>
                  <w:vAlign w:val="center"/>
                </w:tcPr>
                <w:p w14:paraId="68DA12A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2025</w:t>
                  </w:r>
                </w:p>
              </w:tc>
              <w:tc>
                <w:tcPr>
                  <w:tcW w:w="1275" w:type="dxa"/>
                  <w:tcBorders>
                    <w:top w:val="outset" w:sz="8" w:space="0" w:color="000000"/>
                    <w:left w:val="outset" w:sz="8" w:space="0" w:color="000000"/>
                    <w:bottom w:val="outset" w:sz="8" w:space="0" w:color="000000"/>
                    <w:right w:val="outset" w:sz="8" w:space="0" w:color="000000"/>
                  </w:tcBorders>
                  <w:vAlign w:val="center"/>
                </w:tcPr>
                <w:p w14:paraId="110B78A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2026</w:t>
                  </w:r>
                </w:p>
              </w:tc>
              <w:tc>
                <w:tcPr>
                  <w:tcW w:w="1276" w:type="dxa"/>
                  <w:tcBorders>
                    <w:top w:val="outset" w:sz="8" w:space="0" w:color="000000"/>
                    <w:left w:val="outset" w:sz="8" w:space="0" w:color="000000"/>
                    <w:bottom w:val="outset" w:sz="8" w:space="0" w:color="000000"/>
                    <w:right w:val="outset" w:sz="8" w:space="0" w:color="000000"/>
                  </w:tcBorders>
                  <w:vAlign w:val="center"/>
                </w:tcPr>
                <w:p w14:paraId="001F5CA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2027</w:t>
                  </w:r>
                </w:p>
              </w:tc>
            </w:tr>
            <w:tr w:rsidR="00CF1710" w:rsidRPr="00CF1710" w14:paraId="5970220B"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21624B1E"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Всього:</w:t>
                  </w:r>
                </w:p>
              </w:tc>
              <w:tc>
                <w:tcPr>
                  <w:tcW w:w="992" w:type="dxa"/>
                  <w:tcBorders>
                    <w:top w:val="outset" w:sz="8" w:space="0" w:color="000000"/>
                    <w:left w:val="outset" w:sz="8" w:space="0" w:color="000000"/>
                    <w:bottom w:val="outset" w:sz="8" w:space="0" w:color="000000"/>
                    <w:right w:val="outset" w:sz="8" w:space="0" w:color="000000"/>
                  </w:tcBorders>
                  <w:vAlign w:val="center"/>
                </w:tcPr>
                <w:p w14:paraId="52E8747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59047960,56</w:t>
                  </w:r>
                </w:p>
              </w:tc>
              <w:tc>
                <w:tcPr>
                  <w:tcW w:w="1276" w:type="dxa"/>
                  <w:tcBorders>
                    <w:top w:val="outset" w:sz="8" w:space="0" w:color="000000"/>
                    <w:left w:val="outset" w:sz="8" w:space="0" w:color="000000"/>
                    <w:bottom w:val="outset" w:sz="8" w:space="0" w:color="000000"/>
                    <w:right w:val="outset" w:sz="8" w:space="0" w:color="000000"/>
                  </w:tcBorders>
                  <w:vAlign w:val="center"/>
                </w:tcPr>
                <w:p w14:paraId="3AC81C3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12654915,74</w:t>
                  </w:r>
                </w:p>
              </w:tc>
              <w:tc>
                <w:tcPr>
                  <w:tcW w:w="1276" w:type="dxa"/>
                  <w:tcBorders>
                    <w:top w:val="outset" w:sz="8" w:space="0" w:color="000000"/>
                    <w:left w:val="outset" w:sz="8" w:space="0" w:color="000000"/>
                    <w:bottom w:val="outset" w:sz="8" w:space="0" w:color="000000"/>
                    <w:right w:val="outset" w:sz="8" w:space="0" w:color="000000"/>
                  </w:tcBorders>
                  <w:vAlign w:val="center"/>
                </w:tcPr>
                <w:p w14:paraId="29F066C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14099405,63</w:t>
                  </w:r>
                </w:p>
              </w:tc>
              <w:tc>
                <w:tcPr>
                  <w:tcW w:w="1275" w:type="dxa"/>
                  <w:tcBorders>
                    <w:top w:val="outset" w:sz="8" w:space="0" w:color="000000"/>
                    <w:left w:val="outset" w:sz="8" w:space="0" w:color="000000"/>
                    <w:bottom w:val="outset" w:sz="8" w:space="0" w:color="000000"/>
                    <w:right w:val="outset" w:sz="8" w:space="0" w:color="000000"/>
                  </w:tcBorders>
                  <w:vAlign w:val="center"/>
                </w:tcPr>
                <w:p w14:paraId="06A34AC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15672560,13</w:t>
                  </w:r>
                </w:p>
              </w:tc>
              <w:tc>
                <w:tcPr>
                  <w:tcW w:w="1276" w:type="dxa"/>
                  <w:tcBorders>
                    <w:top w:val="outset" w:sz="8" w:space="0" w:color="000000"/>
                    <w:left w:val="outset" w:sz="8" w:space="0" w:color="000000"/>
                    <w:bottom w:val="outset" w:sz="8" w:space="0" w:color="000000"/>
                    <w:right w:val="outset" w:sz="8" w:space="0" w:color="000000"/>
                  </w:tcBorders>
                  <w:vAlign w:val="center"/>
                </w:tcPr>
                <w:p w14:paraId="4178FC3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16621079,06</w:t>
                  </w:r>
                </w:p>
              </w:tc>
            </w:tr>
            <w:tr w:rsidR="00CF1710" w:rsidRPr="00CF1710" w14:paraId="27AD7CD2"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3DD6E0F4"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у тому числі за джерелами:</w:t>
                  </w:r>
                </w:p>
              </w:tc>
              <w:tc>
                <w:tcPr>
                  <w:tcW w:w="992" w:type="dxa"/>
                  <w:tcBorders>
                    <w:top w:val="outset" w:sz="8" w:space="0" w:color="000000"/>
                    <w:left w:val="outset" w:sz="8" w:space="0" w:color="000000"/>
                    <w:bottom w:val="outset" w:sz="8" w:space="0" w:color="000000"/>
                    <w:right w:val="outset" w:sz="8" w:space="0" w:color="000000"/>
                  </w:tcBorders>
                  <w:vAlign w:val="center"/>
                </w:tcPr>
                <w:p w14:paraId="7780CC2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2323DF8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3242700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5" w:type="dxa"/>
                  <w:tcBorders>
                    <w:top w:val="outset" w:sz="8" w:space="0" w:color="000000"/>
                    <w:left w:val="outset" w:sz="8" w:space="0" w:color="000000"/>
                    <w:bottom w:val="outset" w:sz="8" w:space="0" w:color="000000"/>
                    <w:right w:val="outset" w:sz="8" w:space="0" w:color="000000"/>
                  </w:tcBorders>
                  <w:vAlign w:val="center"/>
                </w:tcPr>
                <w:p w14:paraId="39D12C7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28A39C3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r>
            <w:tr w:rsidR="00CF1710" w:rsidRPr="00CF1710" w14:paraId="64B8CEC6"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459A41A8"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державний бюджет</w:t>
                  </w:r>
                </w:p>
              </w:tc>
              <w:tc>
                <w:tcPr>
                  <w:tcW w:w="992" w:type="dxa"/>
                  <w:tcBorders>
                    <w:top w:val="outset" w:sz="8" w:space="0" w:color="000000"/>
                    <w:left w:val="outset" w:sz="8" w:space="0" w:color="000000"/>
                    <w:bottom w:val="outset" w:sz="8" w:space="0" w:color="000000"/>
                    <w:right w:val="outset" w:sz="8" w:space="0" w:color="000000"/>
                  </w:tcBorders>
                  <w:vAlign w:val="center"/>
                </w:tcPr>
                <w:p w14:paraId="49D59AC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22A0A35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07A6CD3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5" w:type="dxa"/>
                  <w:tcBorders>
                    <w:top w:val="outset" w:sz="8" w:space="0" w:color="000000"/>
                    <w:left w:val="outset" w:sz="8" w:space="0" w:color="000000"/>
                    <w:bottom w:val="outset" w:sz="8" w:space="0" w:color="000000"/>
                    <w:right w:val="outset" w:sz="8" w:space="0" w:color="000000"/>
                  </w:tcBorders>
                  <w:vAlign w:val="center"/>
                </w:tcPr>
                <w:p w14:paraId="251ABE6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0E08051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2E9CE0B3"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20E16656"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бюджет міста Києва</w:t>
                  </w:r>
                </w:p>
              </w:tc>
              <w:tc>
                <w:tcPr>
                  <w:tcW w:w="992" w:type="dxa"/>
                  <w:tcBorders>
                    <w:top w:val="outset" w:sz="8" w:space="0" w:color="000000"/>
                    <w:left w:val="outset" w:sz="8" w:space="0" w:color="000000"/>
                    <w:bottom w:val="outset" w:sz="8" w:space="0" w:color="000000"/>
                    <w:right w:val="outset" w:sz="8" w:space="0" w:color="000000"/>
                  </w:tcBorders>
                  <w:vAlign w:val="center"/>
                </w:tcPr>
                <w:p w14:paraId="021FB40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52415048,50</w:t>
                  </w:r>
                </w:p>
              </w:tc>
              <w:tc>
                <w:tcPr>
                  <w:tcW w:w="1276" w:type="dxa"/>
                  <w:tcBorders>
                    <w:top w:val="outset" w:sz="8" w:space="0" w:color="000000"/>
                    <w:left w:val="outset" w:sz="8" w:space="0" w:color="000000"/>
                    <w:bottom w:val="outset" w:sz="8" w:space="0" w:color="000000"/>
                    <w:right w:val="outset" w:sz="8" w:space="0" w:color="000000"/>
                  </w:tcBorders>
                  <w:vAlign w:val="center"/>
                </w:tcPr>
                <w:p w14:paraId="15495E2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11048318,08</w:t>
                  </w:r>
                </w:p>
              </w:tc>
              <w:tc>
                <w:tcPr>
                  <w:tcW w:w="1276" w:type="dxa"/>
                  <w:tcBorders>
                    <w:top w:val="outset" w:sz="8" w:space="0" w:color="000000"/>
                    <w:left w:val="outset" w:sz="8" w:space="0" w:color="000000"/>
                    <w:bottom w:val="outset" w:sz="8" w:space="0" w:color="000000"/>
                    <w:right w:val="outset" w:sz="8" w:space="0" w:color="000000"/>
                  </w:tcBorders>
                  <w:vAlign w:val="center"/>
                </w:tcPr>
                <w:p w14:paraId="3AAD1B0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12942673,67</w:t>
                  </w:r>
                </w:p>
              </w:tc>
              <w:tc>
                <w:tcPr>
                  <w:tcW w:w="1275" w:type="dxa"/>
                  <w:tcBorders>
                    <w:top w:val="outset" w:sz="8" w:space="0" w:color="000000"/>
                    <w:left w:val="outset" w:sz="8" w:space="0" w:color="000000"/>
                    <w:bottom w:val="outset" w:sz="8" w:space="0" w:color="000000"/>
                    <w:right w:val="outset" w:sz="8" w:space="0" w:color="000000"/>
                  </w:tcBorders>
                  <w:vAlign w:val="center"/>
                </w:tcPr>
                <w:p w14:paraId="1DF3339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13810393,41</w:t>
                  </w:r>
                </w:p>
              </w:tc>
              <w:tc>
                <w:tcPr>
                  <w:tcW w:w="1276" w:type="dxa"/>
                  <w:tcBorders>
                    <w:top w:val="outset" w:sz="8" w:space="0" w:color="000000"/>
                    <w:left w:val="outset" w:sz="8" w:space="0" w:color="000000"/>
                    <w:bottom w:val="outset" w:sz="8" w:space="0" w:color="000000"/>
                    <w:right w:val="outset" w:sz="8" w:space="0" w:color="000000"/>
                  </w:tcBorders>
                  <w:vAlign w:val="center"/>
                </w:tcPr>
                <w:p w14:paraId="160DE87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14613663,34</w:t>
                  </w:r>
                </w:p>
              </w:tc>
            </w:tr>
            <w:tr w:rsidR="00CF1710" w:rsidRPr="00CF1710" w14:paraId="71E6261E"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5364EBF9"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інші джерела</w:t>
                  </w:r>
                </w:p>
              </w:tc>
              <w:tc>
                <w:tcPr>
                  <w:tcW w:w="992" w:type="dxa"/>
                  <w:tcBorders>
                    <w:top w:val="outset" w:sz="8" w:space="0" w:color="000000"/>
                    <w:left w:val="outset" w:sz="8" w:space="0" w:color="000000"/>
                    <w:bottom w:val="outset" w:sz="8" w:space="0" w:color="000000"/>
                    <w:right w:val="outset" w:sz="8" w:space="0" w:color="000000"/>
                  </w:tcBorders>
                  <w:vAlign w:val="center"/>
                </w:tcPr>
                <w:p w14:paraId="61BD8B1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6632912,06</w:t>
                  </w:r>
                </w:p>
              </w:tc>
              <w:tc>
                <w:tcPr>
                  <w:tcW w:w="1276" w:type="dxa"/>
                  <w:tcBorders>
                    <w:top w:val="outset" w:sz="8" w:space="0" w:color="000000"/>
                    <w:left w:val="outset" w:sz="8" w:space="0" w:color="000000"/>
                    <w:bottom w:val="outset" w:sz="8" w:space="0" w:color="000000"/>
                    <w:right w:val="outset" w:sz="8" w:space="0" w:color="000000"/>
                  </w:tcBorders>
                  <w:vAlign w:val="center"/>
                </w:tcPr>
                <w:p w14:paraId="3F8DF72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1606597,66</w:t>
                  </w:r>
                </w:p>
              </w:tc>
              <w:tc>
                <w:tcPr>
                  <w:tcW w:w="1276" w:type="dxa"/>
                  <w:tcBorders>
                    <w:top w:val="outset" w:sz="8" w:space="0" w:color="000000"/>
                    <w:left w:val="outset" w:sz="8" w:space="0" w:color="000000"/>
                    <w:bottom w:val="outset" w:sz="8" w:space="0" w:color="000000"/>
                    <w:right w:val="outset" w:sz="8" w:space="0" w:color="000000"/>
                  </w:tcBorders>
                  <w:vAlign w:val="center"/>
                </w:tcPr>
                <w:p w14:paraId="445062E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1156731,96</w:t>
                  </w:r>
                </w:p>
              </w:tc>
              <w:tc>
                <w:tcPr>
                  <w:tcW w:w="1275" w:type="dxa"/>
                  <w:tcBorders>
                    <w:top w:val="outset" w:sz="8" w:space="0" w:color="000000"/>
                    <w:left w:val="outset" w:sz="8" w:space="0" w:color="000000"/>
                    <w:bottom w:val="outset" w:sz="8" w:space="0" w:color="000000"/>
                    <w:right w:val="outset" w:sz="8" w:space="0" w:color="000000"/>
                  </w:tcBorders>
                  <w:vAlign w:val="center"/>
                </w:tcPr>
                <w:p w14:paraId="5AEFCEF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1862166,72</w:t>
                  </w:r>
                </w:p>
              </w:tc>
              <w:tc>
                <w:tcPr>
                  <w:tcW w:w="1276" w:type="dxa"/>
                  <w:tcBorders>
                    <w:top w:val="outset" w:sz="8" w:space="0" w:color="000000"/>
                    <w:left w:val="outset" w:sz="8" w:space="0" w:color="000000"/>
                    <w:bottom w:val="outset" w:sz="8" w:space="0" w:color="000000"/>
                    <w:right w:val="outset" w:sz="8" w:space="0" w:color="000000"/>
                  </w:tcBorders>
                  <w:vAlign w:val="center"/>
                </w:tcPr>
                <w:p w14:paraId="3CE32A9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2007415,72</w:t>
                  </w:r>
                </w:p>
              </w:tc>
            </w:tr>
          </w:tbl>
          <w:p w14:paraId="636CBA2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Обсяг фінансування </w:t>
            </w:r>
            <w:proofErr w:type="spellStart"/>
            <w:r w:rsidRPr="00CF1710">
              <w:rPr>
                <w:rFonts w:ascii="Times New Roman" w:hAnsi="Times New Roman" w:cs="Times New Roman"/>
                <w:sz w:val="24"/>
                <w:szCs w:val="24"/>
              </w:rPr>
              <w:t>уточнюється</w:t>
            </w:r>
            <w:proofErr w:type="spellEnd"/>
            <w:r w:rsidRPr="00CF1710">
              <w:rPr>
                <w:rFonts w:ascii="Times New Roman" w:hAnsi="Times New Roman" w:cs="Times New Roman"/>
                <w:sz w:val="24"/>
                <w:szCs w:val="24"/>
              </w:rPr>
              <w:t xml:space="preserve"> щороку в установленому порядку під час складання </w:t>
            </w:r>
            <w:proofErr w:type="spellStart"/>
            <w:r w:rsidRPr="00CF1710">
              <w:rPr>
                <w:rFonts w:ascii="Times New Roman" w:hAnsi="Times New Roman" w:cs="Times New Roman"/>
                <w:sz w:val="24"/>
                <w:szCs w:val="24"/>
              </w:rPr>
              <w:t>проєкту</w:t>
            </w:r>
            <w:proofErr w:type="spellEnd"/>
            <w:r w:rsidRPr="00CF1710">
              <w:rPr>
                <w:rFonts w:ascii="Times New Roman" w:hAnsi="Times New Roman" w:cs="Times New Roman"/>
                <w:sz w:val="24"/>
                <w:szCs w:val="24"/>
              </w:rPr>
              <w:t xml:space="preserve"> бюджету міста Києва на відповідний рік у межах видатків, передбачених головному розпорядникові коштів.</w:t>
            </w:r>
          </w:p>
          <w:p w14:paraId="5D2D5A1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Строки виконання Програми 2024 - 2027 роки.</w:t>
            </w:r>
          </w:p>
          <w:p w14:paraId="2FE5A62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Дія заходів міської цільової програми "Підтримка та розвиток галузі охорони здоров'я столиці" на 2024 - 2027 роки з 01 вересня 2026 року поширюється на осіб, які мають задеклароване / зареєстроване місце </w:t>
            </w:r>
            <w:r w:rsidRPr="00CF1710">
              <w:rPr>
                <w:rFonts w:ascii="Times New Roman" w:hAnsi="Times New Roman" w:cs="Times New Roman"/>
                <w:sz w:val="24"/>
                <w:szCs w:val="24"/>
              </w:rPr>
              <w:lastRenderedPageBreak/>
              <w:t>проживання (перебування) у місті Києві або мають довідку про взяття на облік внутрішньо переміщеної особи, що підтверджує місце проживання внутрішньо переміщеної особи на території міста Києва, та отримують первинну медичну допомогу в комунальних закладах охорони здоров'я територіальної громади міста Києва не менше ніж три місяці до дати отримання лікарських засобів, медичних виробів та лікувального харчування, закуплених за кошти, передбачені на реалізацію цієї Програми, крім випадків надання екстреної медичної допомоги, а також надання медичної допомоги військовослужбовцям Збройних Сил України, які евакуйовані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 Підтвердженням отримання особою первинної медичної допомоги є відомості з електронної системи охорони здоров'я, зокрема щодо укладеної декларації про вибір лікаря, який надає первинну медичну допомогу.</w:t>
            </w:r>
          </w:p>
          <w:p w14:paraId="18240DC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метою покращення доступності до інноваційних лікарських засобів Департамент охорони здоров'я міста Києва може укладати договори про взаємодію під час здійснення закупівель за договорами керованого доступу згідно з порядком, затвердженим постановою Кабінету Міністрів України від 27 січня 2021 року N 61 "Деякі питання щодо договорів керованого доступу та зупинення дії абзацу першого пункту 1</w:t>
            </w:r>
            <w:r w:rsidRPr="00CF1710">
              <w:rPr>
                <w:rFonts w:ascii="Times New Roman" w:hAnsi="Times New Roman" w:cs="Times New Roman"/>
                <w:sz w:val="24"/>
                <w:szCs w:val="24"/>
                <w:vertAlign w:val="superscript"/>
              </w:rPr>
              <w:t>2</w:t>
            </w:r>
            <w:r w:rsidRPr="00CF1710">
              <w:rPr>
                <w:rFonts w:ascii="Times New Roman" w:hAnsi="Times New Roman" w:cs="Times New Roman"/>
                <w:sz w:val="24"/>
                <w:szCs w:val="24"/>
              </w:rPr>
              <w:t xml:space="preserve"> постанови Кабінету Міністрів України від 25 березня 2009 р. N 333".</w:t>
            </w:r>
          </w:p>
          <w:p w14:paraId="3A32069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Відповідальний виконавець програми може спрямувати кошти в межах обсягу видатків, передбачених на відповідний рік, на погашення зобов'язань минулих років.</w:t>
            </w:r>
          </w:p>
          <w:p w14:paraId="2C342454"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lastRenderedPageBreak/>
              <w:t>V. АНАЛІЗ ВПЛИВУ ЗАХОДІВ ПРОГРАМИ НА СОЦІАЛЬНО-ЕКОНОМІЧНЕ СТАНОВИЩЕ РІЗНИХ КАТЕГОРІЙ ЖІНОК І ЧОЛОВІКІВ, А ТАКОЖ НА ЗАБЕЗПЕЧЕННЯ ГЕНДЕРНОЇ РІВНОСТІ</w:t>
            </w:r>
          </w:p>
          <w:p w14:paraId="676270F2"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Реалізація Програми враховує забезпечення доступу до високоякісних медичних послуг на рівних правах та можливостях жінок і чоловіків, хлопчиків і </w:t>
            </w:r>
            <w:proofErr w:type="spellStart"/>
            <w:r w:rsidRPr="00CF1710">
              <w:rPr>
                <w:rFonts w:ascii="Times New Roman" w:hAnsi="Times New Roman" w:cs="Times New Roman"/>
                <w:sz w:val="24"/>
                <w:szCs w:val="24"/>
              </w:rPr>
              <w:t>дівчаток</w:t>
            </w:r>
            <w:proofErr w:type="spellEnd"/>
            <w:r w:rsidRPr="00CF1710">
              <w:rPr>
                <w:rFonts w:ascii="Times New Roman" w:hAnsi="Times New Roman" w:cs="Times New Roman"/>
                <w:sz w:val="24"/>
                <w:szCs w:val="24"/>
              </w:rPr>
              <w:t xml:space="preserve">, особливо тих, які перебувають у складних життєвих обставинах, зумовлених, зокрема, інвалідністю, наявністю невиліковних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xml:space="preserve"> та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які потребують тривалого лікування, а також жінок і чоловіків - представників національних меншин та інших соціальних груп, які зазнають множинної дискримінації. Під час реалізації заходів немає обмежень чи привілеїв за ознакою статі.</w:t>
            </w:r>
          </w:p>
          <w:p w14:paraId="4693EA3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Заходи Програми спрямовані на забезпечення нагальних потреб жінок і чоловіків, хлопчиків і дівчат, осіб з інвалідністю в постійній підтримці рівня здоров'я.</w:t>
            </w:r>
          </w:p>
          <w:p w14:paraId="338D85A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Основними групами населення, на які спрямована Програма, є: пацієнти / пацієнтки дитячого та дорослого віку, хворі на цукровий діабет; дівчата і хлопчики дитячого віку із передчасним статевим розвитком аналогами </w:t>
            </w:r>
            <w:proofErr w:type="spellStart"/>
            <w:r w:rsidRPr="00CF1710">
              <w:rPr>
                <w:rFonts w:ascii="Times New Roman" w:hAnsi="Times New Roman" w:cs="Times New Roman"/>
                <w:sz w:val="24"/>
                <w:szCs w:val="24"/>
              </w:rPr>
              <w:t>гонадотропін-рилізинг</w:t>
            </w:r>
            <w:proofErr w:type="spellEnd"/>
            <w:r w:rsidRPr="00CF1710">
              <w:rPr>
                <w:rFonts w:ascii="Times New Roman" w:hAnsi="Times New Roman" w:cs="Times New Roman"/>
                <w:sz w:val="24"/>
                <w:szCs w:val="24"/>
              </w:rPr>
              <w:t xml:space="preserve"> гормону; пацієнти / пацієнтки дитячого віку, хворі на </w:t>
            </w:r>
            <w:proofErr w:type="spellStart"/>
            <w:r w:rsidRPr="00CF1710">
              <w:rPr>
                <w:rFonts w:ascii="Times New Roman" w:hAnsi="Times New Roman" w:cs="Times New Roman"/>
                <w:sz w:val="24"/>
                <w:szCs w:val="24"/>
              </w:rPr>
              <w:t>гіпофізарний</w:t>
            </w:r>
            <w:proofErr w:type="spellEnd"/>
            <w:r w:rsidRPr="00CF1710">
              <w:rPr>
                <w:rFonts w:ascii="Times New Roman" w:hAnsi="Times New Roman" w:cs="Times New Roman"/>
                <w:sz w:val="24"/>
                <w:szCs w:val="24"/>
              </w:rPr>
              <w:t xml:space="preserve"> нанізм та нанізм різного походження; пацієнти / пацієнтки, хворі на акромегалію,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на </w:t>
            </w:r>
            <w:proofErr w:type="spellStart"/>
            <w:r w:rsidRPr="00CF1710">
              <w:rPr>
                <w:rFonts w:ascii="Times New Roman" w:hAnsi="Times New Roman" w:cs="Times New Roman"/>
                <w:sz w:val="24"/>
                <w:szCs w:val="24"/>
              </w:rPr>
              <w:t>фенілкетонурію</w:t>
            </w:r>
            <w:proofErr w:type="spellEnd"/>
            <w:r w:rsidRPr="00CF1710">
              <w:rPr>
                <w:rFonts w:ascii="Times New Roman" w:hAnsi="Times New Roman" w:cs="Times New Roman"/>
                <w:sz w:val="24"/>
                <w:szCs w:val="24"/>
              </w:rPr>
              <w:t xml:space="preserve">, на ювенільний </w:t>
            </w:r>
            <w:proofErr w:type="spellStart"/>
            <w:r w:rsidRPr="00CF1710">
              <w:rPr>
                <w:rFonts w:ascii="Times New Roman" w:hAnsi="Times New Roman" w:cs="Times New Roman"/>
                <w:sz w:val="24"/>
                <w:szCs w:val="24"/>
              </w:rPr>
              <w:t>ревматоїдний</w:t>
            </w:r>
            <w:proofErr w:type="spellEnd"/>
            <w:r w:rsidRPr="00CF1710">
              <w:rPr>
                <w:rFonts w:ascii="Times New Roman" w:hAnsi="Times New Roman" w:cs="Times New Roman"/>
                <w:sz w:val="24"/>
                <w:szCs w:val="24"/>
              </w:rPr>
              <w:t xml:space="preserve"> артрит, </w:t>
            </w:r>
            <w:proofErr w:type="spellStart"/>
            <w:r w:rsidRPr="00CF1710">
              <w:rPr>
                <w:rFonts w:ascii="Times New Roman" w:hAnsi="Times New Roman" w:cs="Times New Roman"/>
                <w:sz w:val="24"/>
                <w:szCs w:val="24"/>
              </w:rPr>
              <w:t>спондилоартрити</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спінально</w:t>
            </w:r>
            <w:proofErr w:type="spellEnd"/>
            <w:r w:rsidRPr="00CF1710">
              <w:rPr>
                <w:rFonts w:ascii="Times New Roman" w:hAnsi="Times New Roman" w:cs="Times New Roman"/>
                <w:sz w:val="24"/>
                <w:szCs w:val="24"/>
              </w:rPr>
              <w:t xml:space="preserve">-м'язову атрофію, хворобу </w:t>
            </w:r>
            <w:proofErr w:type="spellStart"/>
            <w:r w:rsidRPr="00CF1710">
              <w:rPr>
                <w:rFonts w:ascii="Times New Roman" w:hAnsi="Times New Roman" w:cs="Times New Roman"/>
                <w:sz w:val="24"/>
                <w:szCs w:val="24"/>
              </w:rPr>
              <w:t>Гоше</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мукополісахаридоз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на запальні хронічні захворювання товстого кишківника; пацієнти / пацієнтки дитячого віку з хворобою Кавасакі, хворі на легеневу гіпертензію, хворі на </w:t>
            </w:r>
            <w:proofErr w:type="spellStart"/>
            <w:r w:rsidRPr="00CF1710">
              <w:rPr>
                <w:rFonts w:ascii="Times New Roman" w:hAnsi="Times New Roman" w:cs="Times New Roman"/>
                <w:sz w:val="24"/>
                <w:szCs w:val="24"/>
              </w:rPr>
              <w:t>метілмалонову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аміноацидурію</w:t>
            </w:r>
            <w:proofErr w:type="spellEnd"/>
            <w:r w:rsidRPr="00CF1710">
              <w:rPr>
                <w:rFonts w:ascii="Times New Roman" w:hAnsi="Times New Roman" w:cs="Times New Roman"/>
                <w:sz w:val="24"/>
                <w:szCs w:val="24"/>
              </w:rPr>
              <w:t xml:space="preserve">; пацієнти / пацієнтки, хворі на первинний імунодефіцит, на розсіяний склероз, на </w:t>
            </w:r>
            <w:proofErr w:type="spellStart"/>
            <w:r w:rsidRPr="00CF1710">
              <w:rPr>
                <w:rFonts w:ascii="Times New Roman" w:hAnsi="Times New Roman" w:cs="Times New Roman"/>
                <w:sz w:val="24"/>
                <w:szCs w:val="24"/>
              </w:rPr>
              <w:t>ідіопатичну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тромбоцитопенічну</w:t>
            </w:r>
            <w:proofErr w:type="spellEnd"/>
            <w:r w:rsidRPr="00CF1710">
              <w:rPr>
                <w:rFonts w:ascii="Times New Roman" w:hAnsi="Times New Roman" w:cs="Times New Roman"/>
                <w:sz w:val="24"/>
                <w:szCs w:val="24"/>
              </w:rPr>
              <w:t xml:space="preserve"> пурпуру, на </w:t>
            </w:r>
            <w:proofErr w:type="spellStart"/>
            <w:r w:rsidRPr="00CF1710">
              <w:rPr>
                <w:rFonts w:ascii="Times New Roman" w:hAnsi="Times New Roman" w:cs="Times New Roman"/>
                <w:sz w:val="24"/>
                <w:szCs w:val="24"/>
              </w:rPr>
              <w:t>коагулопатію</w:t>
            </w:r>
            <w:proofErr w:type="spellEnd"/>
            <w:r w:rsidRPr="00CF1710">
              <w:rPr>
                <w:rFonts w:ascii="Times New Roman" w:hAnsi="Times New Roman" w:cs="Times New Roman"/>
                <w:sz w:val="24"/>
                <w:szCs w:val="24"/>
              </w:rPr>
              <w:t xml:space="preserve">, з </w:t>
            </w:r>
            <w:proofErr w:type="spellStart"/>
            <w:r w:rsidRPr="00CF1710">
              <w:rPr>
                <w:rFonts w:ascii="Times New Roman" w:hAnsi="Times New Roman" w:cs="Times New Roman"/>
                <w:sz w:val="24"/>
                <w:szCs w:val="24"/>
              </w:rPr>
              <w:t>онкогематологічною</w:t>
            </w:r>
            <w:proofErr w:type="spellEnd"/>
            <w:r w:rsidRPr="00CF1710">
              <w:rPr>
                <w:rFonts w:ascii="Times New Roman" w:hAnsi="Times New Roman" w:cs="Times New Roman"/>
                <w:sz w:val="24"/>
                <w:szCs w:val="24"/>
              </w:rPr>
              <w:t xml:space="preserve"> патологією, з хворобами нирок; пацієнти / пацієнтки, які мають вади слуху та мовлення, з вадами серця, що потребують заміни суглобів (тазових, кульшових, плечових); пацієнти / пацієнтки з судинно-</w:t>
            </w:r>
            <w:r w:rsidRPr="00CF1710">
              <w:rPr>
                <w:rFonts w:ascii="Times New Roman" w:hAnsi="Times New Roman" w:cs="Times New Roman"/>
                <w:sz w:val="24"/>
                <w:szCs w:val="24"/>
              </w:rPr>
              <w:lastRenderedPageBreak/>
              <w:t xml:space="preserve">мозковими захворюваннями, серцево-судинними захворюваннями; пацієнти, що потребують лікування за допомогою сучасних клітинних технологій, зокрема культивованих </w:t>
            </w:r>
            <w:proofErr w:type="spellStart"/>
            <w:r w:rsidRPr="00CF1710">
              <w:rPr>
                <w:rFonts w:ascii="Times New Roman" w:hAnsi="Times New Roman" w:cs="Times New Roman"/>
                <w:sz w:val="24"/>
                <w:szCs w:val="24"/>
              </w:rPr>
              <w:t>мезенхімальних</w:t>
            </w:r>
            <w:proofErr w:type="spellEnd"/>
            <w:r w:rsidRPr="00CF1710">
              <w:rPr>
                <w:rFonts w:ascii="Times New Roman" w:hAnsi="Times New Roman" w:cs="Times New Roman"/>
                <w:sz w:val="24"/>
                <w:szCs w:val="24"/>
              </w:rPr>
              <w:t xml:space="preserve"> стовбурових клітин тощо.</w:t>
            </w:r>
          </w:p>
          <w:p w14:paraId="574CC4D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Усіма пільгами, передбаченими Програмою, будуть користуватися як внутрішньо переміщені особи, які отримали в установленому Законом порядку статус, так і ветерани / </w:t>
            </w:r>
            <w:proofErr w:type="spellStart"/>
            <w:r w:rsidRPr="00CF1710">
              <w:rPr>
                <w:rFonts w:ascii="Times New Roman" w:hAnsi="Times New Roman" w:cs="Times New Roman"/>
                <w:sz w:val="24"/>
                <w:szCs w:val="24"/>
              </w:rPr>
              <w:t>ветеранки</w:t>
            </w:r>
            <w:proofErr w:type="spellEnd"/>
            <w:r w:rsidRPr="00CF1710">
              <w:rPr>
                <w:rFonts w:ascii="Times New Roman" w:hAnsi="Times New Roman" w:cs="Times New Roman"/>
                <w:sz w:val="24"/>
                <w:szCs w:val="24"/>
              </w:rPr>
              <w:t xml:space="preserve"> війни з Російською Федерацією.</w:t>
            </w:r>
          </w:p>
          <w:p w14:paraId="3729156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Програма також забезпечує доступ до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3E27A07C"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 ПЕРЕЛІК ЗАВДАНЬ І ЗАХОДІВ ПРОГРАМИ, РЕЗУЛЬТАТИВНИХ ПОКАЗНИКІВ ПРОГРАМИ</w:t>
            </w:r>
          </w:p>
          <w:p w14:paraId="11447D22"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Перелік завдань і заходів, результативні показники Програми наведено в додатку "Перелік завдань і заходів міської цільової програми "Підтримка та розвиток галузі охорони здоров'я столиці" на 2024 - 2027 роки".</w:t>
            </w:r>
          </w:p>
          <w:p w14:paraId="0B812ACA"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VII. ІНДИКАТОРИ ПРОГРАМИ</w:t>
            </w:r>
          </w:p>
          <w:p w14:paraId="75534C04"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У період дії воєнного стану або стану війни, а також протягом трьох місяців після його завершення органи державної статистики не здійснюють оприлюднення статистичної інформації та поновлять її оприлюднення в повному обсязі після завершення встановленого законом терміну відповідно до Закону України "Про захист інтересів суб'єктів подання звітності та інших документів у період дії воєнного стану або стану війни". Враховуючи зазначене, запланувати окремі індикатори Програми на 2024 - 2027 роки буде можливо після завершення встановленого законодавством терміну.</w:t>
            </w:r>
          </w:p>
          <w:tbl>
            <w:tblPr>
              <w:tblW w:w="0" w:type="auto"/>
              <w:tblInd w:w="115" w:type="dxa"/>
              <w:tblLook w:val="0000" w:firstRow="0" w:lastRow="0" w:firstColumn="0" w:lastColumn="0" w:noHBand="0" w:noVBand="0"/>
            </w:tblPr>
            <w:tblGrid>
              <w:gridCol w:w="1859"/>
              <w:gridCol w:w="1530"/>
              <w:gridCol w:w="572"/>
              <w:gridCol w:w="1061"/>
              <w:gridCol w:w="1061"/>
              <w:gridCol w:w="1061"/>
            </w:tblGrid>
            <w:tr w:rsidR="00CF1710" w:rsidRPr="00CF1710" w14:paraId="1EFBAC81"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650D6EE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lastRenderedPageBreak/>
                    <w:t>Показник</w:t>
                  </w:r>
                </w:p>
              </w:tc>
              <w:tc>
                <w:tcPr>
                  <w:tcW w:w="992" w:type="dxa"/>
                  <w:tcBorders>
                    <w:top w:val="outset" w:sz="8" w:space="0" w:color="000000"/>
                    <w:left w:val="outset" w:sz="8" w:space="0" w:color="000000"/>
                    <w:bottom w:val="outset" w:sz="8" w:space="0" w:color="000000"/>
                    <w:right w:val="outset" w:sz="8" w:space="0" w:color="000000"/>
                  </w:tcBorders>
                  <w:vAlign w:val="center"/>
                </w:tcPr>
                <w:p w14:paraId="4F63C9A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Одиниця виміру</w:t>
                  </w:r>
                </w:p>
              </w:tc>
              <w:tc>
                <w:tcPr>
                  <w:tcW w:w="851" w:type="dxa"/>
                  <w:tcBorders>
                    <w:top w:val="outset" w:sz="8" w:space="0" w:color="000000"/>
                    <w:left w:val="outset" w:sz="8" w:space="0" w:color="000000"/>
                    <w:bottom w:val="outset" w:sz="8" w:space="0" w:color="000000"/>
                    <w:right w:val="outset" w:sz="8" w:space="0" w:color="000000"/>
                  </w:tcBorders>
                  <w:vAlign w:val="center"/>
                </w:tcPr>
                <w:p w14:paraId="423C585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2024 рік</w:t>
                  </w:r>
                </w:p>
              </w:tc>
              <w:tc>
                <w:tcPr>
                  <w:tcW w:w="1275" w:type="dxa"/>
                  <w:tcBorders>
                    <w:top w:val="outset" w:sz="8" w:space="0" w:color="000000"/>
                    <w:left w:val="outset" w:sz="8" w:space="0" w:color="000000"/>
                    <w:bottom w:val="outset" w:sz="8" w:space="0" w:color="000000"/>
                    <w:right w:val="outset" w:sz="8" w:space="0" w:color="000000"/>
                  </w:tcBorders>
                  <w:vAlign w:val="center"/>
                </w:tcPr>
                <w:p w14:paraId="201717A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2025 рік</w:t>
                  </w:r>
                </w:p>
              </w:tc>
              <w:tc>
                <w:tcPr>
                  <w:tcW w:w="1276" w:type="dxa"/>
                  <w:tcBorders>
                    <w:top w:val="outset" w:sz="8" w:space="0" w:color="000000"/>
                    <w:left w:val="outset" w:sz="8" w:space="0" w:color="000000"/>
                    <w:bottom w:val="outset" w:sz="8" w:space="0" w:color="000000"/>
                    <w:right w:val="outset" w:sz="8" w:space="0" w:color="000000"/>
                  </w:tcBorders>
                  <w:vAlign w:val="center"/>
                </w:tcPr>
                <w:p w14:paraId="30F2D45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2026 рік</w:t>
                  </w:r>
                </w:p>
              </w:tc>
              <w:tc>
                <w:tcPr>
                  <w:tcW w:w="1276" w:type="dxa"/>
                  <w:tcBorders>
                    <w:top w:val="outset" w:sz="8" w:space="0" w:color="000000"/>
                    <w:left w:val="outset" w:sz="8" w:space="0" w:color="000000"/>
                    <w:bottom w:val="outset" w:sz="8" w:space="0" w:color="000000"/>
                    <w:right w:val="outset" w:sz="8" w:space="0" w:color="000000"/>
                  </w:tcBorders>
                  <w:vAlign w:val="center"/>
                </w:tcPr>
                <w:p w14:paraId="6EC88DF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2027 рік</w:t>
                  </w:r>
                </w:p>
              </w:tc>
            </w:tr>
            <w:tr w:rsidR="00CF1710" w:rsidRPr="00CF1710" w14:paraId="4106B883"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38158DEE"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Очікувана тривалість життя при народженні</w:t>
                  </w:r>
                </w:p>
              </w:tc>
              <w:tc>
                <w:tcPr>
                  <w:tcW w:w="992" w:type="dxa"/>
                  <w:tcBorders>
                    <w:top w:val="outset" w:sz="8" w:space="0" w:color="000000"/>
                    <w:left w:val="outset" w:sz="8" w:space="0" w:color="000000"/>
                    <w:bottom w:val="outset" w:sz="8" w:space="0" w:color="000000"/>
                    <w:right w:val="outset" w:sz="8" w:space="0" w:color="000000"/>
                  </w:tcBorders>
                  <w:vAlign w:val="center"/>
                </w:tcPr>
                <w:p w14:paraId="2DF2BEB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років</w:t>
                  </w:r>
                </w:p>
              </w:tc>
              <w:tc>
                <w:tcPr>
                  <w:tcW w:w="851" w:type="dxa"/>
                  <w:tcBorders>
                    <w:top w:val="outset" w:sz="8" w:space="0" w:color="000000"/>
                    <w:left w:val="outset" w:sz="8" w:space="0" w:color="000000"/>
                    <w:bottom w:val="outset" w:sz="8" w:space="0" w:color="000000"/>
                    <w:right w:val="outset" w:sz="8" w:space="0" w:color="000000"/>
                  </w:tcBorders>
                  <w:vAlign w:val="center"/>
                </w:tcPr>
                <w:p w14:paraId="548BA23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65</w:t>
                  </w:r>
                </w:p>
              </w:tc>
              <w:tc>
                <w:tcPr>
                  <w:tcW w:w="1275" w:type="dxa"/>
                  <w:tcBorders>
                    <w:top w:val="outset" w:sz="8" w:space="0" w:color="000000"/>
                    <w:left w:val="outset" w:sz="8" w:space="0" w:color="000000"/>
                    <w:bottom w:val="outset" w:sz="8" w:space="0" w:color="000000"/>
                    <w:right w:val="outset" w:sz="8" w:space="0" w:color="000000"/>
                  </w:tcBorders>
                  <w:vAlign w:val="center"/>
                </w:tcPr>
                <w:p w14:paraId="0BD9E34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40F009F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53BAD19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r>
            <w:tr w:rsidR="00CF1710" w:rsidRPr="00CF1710" w14:paraId="4E6256DE"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39E157B3"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Смертність населення</w:t>
                  </w:r>
                </w:p>
              </w:tc>
              <w:tc>
                <w:tcPr>
                  <w:tcW w:w="992" w:type="dxa"/>
                  <w:tcBorders>
                    <w:top w:val="outset" w:sz="8" w:space="0" w:color="000000"/>
                    <w:left w:val="outset" w:sz="8" w:space="0" w:color="000000"/>
                    <w:bottom w:val="outset" w:sz="8" w:space="0" w:color="000000"/>
                    <w:right w:val="outset" w:sz="8" w:space="0" w:color="000000"/>
                  </w:tcBorders>
                  <w:vAlign w:val="center"/>
                </w:tcPr>
                <w:p w14:paraId="14EE4D4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випадків / 1 тис. мешканців / мешканок</w:t>
                  </w:r>
                </w:p>
              </w:tc>
              <w:tc>
                <w:tcPr>
                  <w:tcW w:w="851" w:type="dxa"/>
                  <w:tcBorders>
                    <w:top w:val="outset" w:sz="8" w:space="0" w:color="000000"/>
                    <w:left w:val="outset" w:sz="8" w:space="0" w:color="000000"/>
                    <w:bottom w:val="outset" w:sz="8" w:space="0" w:color="000000"/>
                    <w:right w:val="outset" w:sz="8" w:space="0" w:color="000000"/>
                  </w:tcBorders>
                  <w:vAlign w:val="center"/>
                </w:tcPr>
                <w:p w14:paraId="1516D80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15,5</w:t>
                  </w:r>
                </w:p>
              </w:tc>
              <w:tc>
                <w:tcPr>
                  <w:tcW w:w="1275" w:type="dxa"/>
                  <w:tcBorders>
                    <w:top w:val="outset" w:sz="8" w:space="0" w:color="000000"/>
                    <w:left w:val="outset" w:sz="8" w:space="0" w:color="000000"/>
                    <w:bottom w:val="outset" w:sz="8" w:space="0" w:color="000000"/>
                    <w:right w:val="outset" w:sz="8" w:space="0" w:color="000000"/>
                  </w:tcBorders>
                  <w:vAlign w:val="center"/>
                </w:tcPr>
                <w:p w14:paraId="2869A84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786AA18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2DC3DF8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r>
            <w:tr w:rsidR="00CF1710" w:rsidRPr="00CF1710" w14:paraId="31B3D708"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2DAB57EB"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Смертність дітей у віці до 5 років</w:t>
                  </w:r>
                </w:p>
              </w:tc>
              <w:tc>
                <w:tcPr>
                  <w:tcW w:w="992" w:type="dxa"/>
                  <w:tcBorders>
                    <w:top w:val="outset" w:sz="8" w:space="0" w:color="000000"/>
                    <w:left w:val="outset" w:sz="8" w:space="0" w:color="000000"/>
                    <w:bottom w:val="outset" w:sz="8" w:space="0" w:color="000000"/>
                    <w:right w:val="outset" w:sz="8" w:space="0" w:color="000000"/>
                  </w:tcBorders>
                  <w:vAlign w:val="center"/>
                </w:tcPr>
                <w:p w14:paraId="2158A0F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випадків / 1 тис. </w:t>
                  </w:r>
                  <w:proofErr w:type="spellStart"/>
                  <w:r w:rsidRPr="00CF1710">
                    <w:rPr>
                      <w:rFonts w:ascii="Times New Roman" w:hAnsi="Times New Roman" w:cs="Times New Roman"/>
                      <w:sz w:val="19"/>
                      <w:szCs w:val="19"/>
                    </w:rPr>
                    <w:t>живонароджених</w:t>
                  </w:r>
                  <w:proofErr w:type="spellEnd"/>
                </w:p>
              </w:tc>
              <w:tc>
                <w:tcPr>
                  <w:tcW w:w="851" w:type="dxa"/>
                  <w:tcBorders>
                    <w:top w:val="outset" w:sz="8" w:space="0" w:color="000000"/>
                    <w:left w:val="outset" w:sz="8" w:space="0" w:color="000000"/>
                    <w:bottom w:val="outset" w:sz="8" w:space="0" w:color="000000"/>
                    <w:right w:val="outset" w:sz="8" w:space="0" w:color="000000"/>
                  </w:tcBorders>
                  <w:vAlign w:val="center"/>
                </w:tcPr>
                <w:p w14:paraId="602438B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6,8</w:t>
                  </w:r>
                </w:p>
              </w:tc>
              <w:tc>
                <w:tcPr>
                  <w:tcW w:w="1275" w:type="dxa"/>
                  <w:tcBorders>
                    <w:top w:val="outset" w:sz="8" w:space="0" w:color="000000"/>
                    <w:left w:val="outset" w:sz="8" w:space="0" w:color="000000"/>
                    <w:bottom w:val="outset" w:sz="8" w:space="0" w:color="000000"/>
                    <w:right w:val="outset" w:sz="8" w:space="0" w:color="000000"/>
                  </w:tcBorders>
                  <w:vAlign w:val="center"/>
                </w:tcPr>
                <w:p w14:paraId="689F95A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4D3DCA3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56846F6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r>
            <w:tr w:rsidR="00CF1710" w:rsidRPr="00CF1710" w14:paraId="030C0EC8"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5B4D2259"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Частка закладів охорони здоров'я, що засновані на комунальній власності територіальної громади міста Києва, у яких проведено будівельні роботи та які забезпечені </w:t>
                  </w:r>
                  <w:proofErr w:type="spellStart"/>
                  <w:r w:rsidRPr="00CF1710">
                    <w:rPr>
                      <w:rFonts w:ascii="Times New Roman" w:hAnsi="Times New Roman" w:cs="Times New Roman"/>
                      <w:sz w:val="19"/>
                      <w:szCs w:val="19"/>
                    </w:rPr>
                    <w:t>дороговартісним</w:t>
                  </w:r>
                  <w:proofErr w:type="spellEnd"/>
                  <w:r w:rsidRPr="00CF1710">
                    <w:rPr>
                      <w:rFonts w:ascii="Times New Roman" w:hAnsi="Times New Roman" w:cs="Times New Roman"/>
                      <w:sz w:val="19"/>
                      <w:szCs w:val="19"/>
                    </w:rPr>
                    <w:t xml:space="preserve"> високотехнологічним обладнанням у поточному році, у загальній кількості закладів охорони здоров'я</w:t>
                  </w:r>
                </w:p>
              </w:tc>
              <w:tc>
                <w:tcPr>
                  <w:tcW w:w="992" w:type="dxa"/>
                  <w:tcBorders>
                    <w:top w:val="outset" w:sz="8" w:space="0" w:color="000000"/>
                    <w:left w:val="outset" w:sz="8" w:space="0" w:color="000000"/>
                    <w:bottom w:val="outset" w:sz="8" w:space="0" w:color="000000"/>
                    <w:right w:val="outset" w:sz="8" w:space="0" w:color="000000"/>
                  </w:tcBorders>
                  <w:vAlign w:val="center"/>
                </w:tcPr>
                <w:p w14:paraId="392BA55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851" w:type="dxa"/>
                  <w:tcBorders>
                    <w:top w:val="outset" w:sz="8" w:space="0" w:color="000000"/>
                    <w:left w:val="outset" w:sz="8" w:space="0" w:color="000000"/>
                    <w:bottom w:val="outset" w:sz="8" w:space="0" w:color="000000"/>
                    <w:right w:val="outset" w:sz="8" w:space="0" w:color="000000"/>
                  </w:tcBorders>
                  <w:vAlign w:val="center"/>
                </w:tcPr>
                <w:p w14:paraId="5A73FCB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68</w:t>
                  </w:r>
                </w:p>
              </w:tc>
              <w:tc>
                <w:tcPr>
                  <w:tcW w:w="1275" w:type="dxa"/>
                  <w:tcBorders>
                    <w:top w:val="outset" w:sz="8" w:space="0" w:color="000000"/>
                    <w:left w:val="outset" w:sz="8" w:space="0" w:color="000000"/>
                    <w:bottom w:val="outset" w:sz="8" w:space="0" w:color="000000"/>
                    <w:right w:val="outset" w:sz="8" w:space="0" w:color="000000"/>
                  </w:tcBorders>
                  <w:vAlign w:val="center"/>
                </w:tcPr>
                <w:p w14:paraId="2EB2ABB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w:t>
                  </w:r>
                </w:p>
              </w:tc>
              <w:tc>
                <w:tcPr>
                  <w:tcW w:w="1276" w:type="dxa"/>
                  <w:tcBorders>
                    <w:top w:val="outset" w:sz="8" w:space="0" w:color="000000"/>
                    <w:left w:val="outset" w:sz="8" w:space="0" w:color="000000"/>
                    <w:bottom w:val="outset" w:sz="8" w:space="0" w:color="000000"/>
                    <w:right w:val="outset" w:sz="8" w:space="0" w:color="000000"/>
                  </w:tcBorders>
                  <w:vAlign w:val="center"/>
                </w:tcPr>
                <w:p w14:paraId="1773081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21</w:t>
                  </w:r>
                </w:p>
              </w:tc>
              <w:tc>
                <w:tcPr>
                  <w:tcW w:w="1276" w:type="dxa"/>
                  <w:tcBorders>
                    <w:top w:val="outset" w:sz="8" w:space="0" w:color="000000"/>
                    <w:left w:val="outset" w:sz="8" w:space="0" w:color="000000"/>
                    <w:bottom w:val="outset" w:sz="8" w:space="0" w:color="000000"/>
                    <w:right w:val="outset" w:sz="8" w:space="0" w:color="000000"/>
                  </w:tcBorders>
                  <w:vAlign w:val="center"/>
                </w:tcPr>
                <w:p w14:paraId="3309339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27</w:t>
                  </w:r>
                </w:p>
              </w:tc>
            </w:tr>
            <w:tr w:rsidR="00CF1710" w:rsidRPr="00CF1710" w14:paraId="546EF50F"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009FBE9D"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Співвідношення видатків бюджету міста Києва на підтримку й розвиток комунальних підприємств, установ та організацій галузі </w:t>
                  </w:r>
                  <w:r w:rsidRPr="00CF1710">
                    <w:rPr>
                      <w:rFonts w:ascii="Times New Roman" w:hAnsi="Times New Roman" w:cs="Times New Roman"/>
                      <w:sz w:val="19"/>
                      <w:szCs w:val="19"/>
                    </w:rPr>
                    <w:lastRenderedPageBreak/>
                    <w:t>охорони здоров'я до доходів, отриманих за програмою медичних гарантій</w:t>
                  </w:r>
                </w:p>
              </w:tc>
              <w:tc>
                <w:tcPr>
                  <w:tcW w:w="992" w:type="dxa"/>
                  <w:tcBorders>
                    <w:top w:val="outset" w:sz="8" w:space="0" w:color="000000"/>
                    <w:left w:val="outset" w:sz="8" w:space="0" w:color="000000"/>
                    <w:bottom w:val="outset" w:sz="8" w:space="0" w:color="000000"/>
                    <w:right w:val="outset" w:sz="8" w:space="0" w:color="000000"/>
                  </w:tcBorders>
                  <w:vAlign w:val="center"/>
                </w:tcPr>
                <w:p w14:paraId="0B604A1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w:t>
                  </w:r>
                </w:p>
              </w:tc>
              <w:tc>
                <w:tcPr>
                  <w:tcW w:w="851" w:type="dxa"/>
                  <w:tcBorders>
                    <w:top w:val="outset" w:sz="8" w:space="0" w:color="000000"/>
                    <w:left w:val="outset" w:sz="8" w:space="0" w:color="000000"/>
                    <w:bottom w:val="outset" w:sz="8" w:space="0" w:color="000000"/>
                    <w:right w:val="outset" w:sz="8" w:space="0" w:color="000000"/>
                  </w:tcBorders>
                  <w:vAlign w:val="center"/>
                </w:tcPr>
                <w:p w14:paraId="0807B9B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70</w:t>
                  </w:r>
                </w:p>
              </w:tc>
              <w:tc>
                <w:tcPr>
                  <w:tcW w:w="1275" w:type="dxa"/>
                  <w:tcBorders>
                    <w:top w:val="outset" w:sz="8" w:space="0" w:color="000000"/>
                    <w:left w:val="outset" w:sz="8" w:space="0" w:color="000000"/>
                    <w:bottom w:val="outset" w:sz="8" w:space="0" w:color="000000"/>
                    <w:right w:val="outset" w:sz="8" w:space="0" w:color="000000"/>
                  </w:tcBorders>
                  <w:vAlign w:val="center"/>
                </w:tcPr>
                <w:p w14:paraId="2B6C1B8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50</w:t>
                  </w:r>
                </w:p>
              </w:tc>
              <w:tc>
                <w:tcPr>
                  <w:tcW w:w="1276" w:type="dxa"/>
                  <w:tcBorders>
                    <w:top w:val="outset" w:sz="8" w:space="0" w:color="000000"/>
                    <w:left w:val="outset" w:sz="8" w:space="0" w:color="000000"/>
                    <w:bottom w:val="outset" w:sz="8" w:space="0" w:color="000000"/>
                    <w:right w:val="outset" w:sz="8" w:space="0" w:color="000000"/>
                  </w:tcBorders>
                  <w:vAlign w:val="center"/>
                </w:tcPr>
                <w:p w14:paraId="6D6977C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40</w:t>
                  </w:r>
                </w:p>
              </w:tc>
              <w:tc>
                <w:tcPr>
                  <w:tcW w:w="1276" w:type="dxa"/>
                  <w:tcBorders>
                    <w:top w:val="outset" w:sz="8" w:space="0" w:color="000000"/>
                    <w:left w:val="outset" w:sz="8" w:space="0" w:color="000000"/>
                    <w:bottom w:val="outset" w:sz="8" w:space="0" w:color="000000"/>
                    <w:right w:val="outset" w:sz="8" w:space="0" w:color="000000"/>
                  </w:tcBorders>
                  <w:vAlign w:val="center"/>
                </w:tcPr>
                <w:p w14:paraId="0224AF8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30</w:t>
                  </w:r>
                </w:p>
              </w:tc>
            </w:tr>
            <w:tr w:rsidR="00CF1710" w:rsidRPr="00CF1710" w14:paraId="6386AC04"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3FBC1592"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Частка підприємств, установ та організацій галузі охорони здоров'я, охоплених інформаційно-аналітичною системою збирання (тримання) медико-статистичної звітності, у загальній кількості підприємств, установ та організацій галузі охорони здоров'я, які розташовані на території</w:t>
                  </w:r>
                  <w:r w:rsidRPr="00CF1710">
                    <w:rPr>
                      <w:rFonts w:ascii="Times New Roman" w:hAnsi="Times New Roman" w:cs="Times New Roman"/>
                      <w:sz w:val="19"/>
                      <w:szCs w:val="19"/>
                    </w:rPr>
                    <w:br/>
                    <w:t>міста Києва</w:t>
                  </w:r>
                </w:p>
              </w:tc>
              <w:tc>
                <w:tcPr>
                  <w:tcW w:w="992" w:type="dxa"/>
                  <w:tcBorders>
                    <w:top w:val="outset" w:sz="8" w:space="0" w:color="000000"/>
                    <w:left w:val="outset" w:sz="8" w:space="0" w:color="000000"/>
                    <w:bottom w:val="outset" w:sz="8" w:space="0" w:color="000000"/>
                    <w:right w:val="outset" w:sz="8" w:space="0" w:color="000000"/>
                  </w:tcBorders>
                  <w:vAlign w:val="center"/>
                </w:tcPr>
                <w:p w14:paraId="2D9459B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851" w:type="dxa"/>
                  <w:tcBorders>
                    <w:top w:val="outset" w:sz="8" w:space="0" w:color="000000"/>
                    <w:left w:val="outset" w:sz="8" w:space="0" w:color="000000"/>
                    <w:bottom w:val="outset" w:sz="8" w:space="0" w:color="000000"/>
                    <w:right w:val="outset" w:sz="8" w:space="0" w:color="000000"/>
                  </w:tcBorders>
                  <w:vAlign w:val="center"/>
                </w:tcPr>
                <w:p w14:paraId="2F423C2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w:t>
                  </w:r>
                </w:p>
              </w:tc>
              <w:tc>
                <w:tcPr>
                  <w:tcW w:w="1275" w:type="dxa"/>
                  <w:tcBorders>
                    <w:top w:val="outset" w:sz="8" w:space="0" w:color="000000"/>
                    <w:left w:val="outset" w:sz="8" w:space="0" w:color="000000"/>
                    <w:bottom w:val="outset" w:sz="8" w:space="0" w:color="000000"/>
                    <w:right w:val="outset" w:sz="8" w:space="0" w:color="000000"/>
                  </w:tcBorders>
                  <w:vAlign w:val="center"/>
                </w:tcPr>
                <w:p w14:paraId="1B0ACEB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60</w:t>
                  </w:r>
                </w:p>
              </w:tc>
              <w:tc>
                <w:tcPr>
                  <w:tcW w:w="1276" w:type="dxa"/>
                  <w:tcBorders>
                    <w:top w:val="outset" w:sz="8" w:space="0" w:color="000000"/>
                    <w:left w:val="outset" w:sz="8" w:space="0" w:color="000000"/>
                    <w:bottom w:val="outset" w:sz="8" w:space="0" w:color="000000"/>
                    <w:right w:val="outset" w:sz="8" w:space="0" w:color="000000"/>
                  </w:tcBorders>
                  <w:vAlign w:val="center"/>
                </w:tcPr>
                <w:p w14:paraId="08A8B91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70</w:t>
                  </w:r>
                </w:p>
              </w:tc>
              <w:tc>
                <w:tcPr>
                  <w:tcW w:w="1276" w:type="dxa"/>
                  <w:tcBorders>
                    <w:top w:val="outset" w:sz="8" w:space="0" w:color="000000"/>
                    <w:left w:val="outset" w:sz="8" w:space="0" w:color="000000"/>
                    <w:bottom w:val="outset" w:sz="8" w:space="0" w:color="000000"/>
                    <w:right w:val="outset" w:sz="8" w:space="0" w:color="000000"/>
                  </w:tcBorders>
                  <w:vAlign w:val="center"/>
                </w:tcPr>
                <w:p w14:paraId="4BD272B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80</w:t>
                  </w:r>
                </w:p>
              </w:tc>
            </w:tr>
          </w:tbl>
          <w:p w14:paraId="5DA81A0C" w14:textId="77777777" w:rsidR="00CF1710" w:rsidRPr="00CF1710" w:rsidRDefault="00CF1710" w:rsidP="00CF1710">
            <w:pPr>
              <w:spacing w:after="75"/>
              <w:ind w:firstLine="240"/>
              <w:rPr>
                <w:rFonts w:ascii="Times New Roman" w:hAnsi="Times New Roman" w:cs="Times New Roman"/>
              </w:rPr>
            </w:pPr>
            <w:r w:rsidRPr="00CF1710">
              <w:rPr>
                <w:rFonts w:ascii="Times New Roman" w:hAnsi="Times New Roman" w:cs="Times New Roman"/>
                <w:sz w:val="16"/>
                <w:szCs w:val="16"/>
              </w:rPr>
              <w:t>* Прогнозовані показники розраховані з урахуванням впливу на демографічні процеси поширення на території України та міста Києва зокрема, гострої респіраторної хвороби COVID-19, спричиненої коронавірусом SARS-CoV-2, та воєнного стану у зв'язку зі збройною агресією Російської Федерації проти України</w:t>
            </w:r>
            <w:r w:rsidRPr="00CF1710">
              <w:rPr>
                <w:rFonts w:ascii="Times New Roman" w:hAnsi="Times New Roman" w:cs="Times New Roman"/>
              </w:rPr>
              <w:t>.</w:t>
            </w:r>
          </w:p>
          <w:p w14:paraId="14FC1BA6"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VIII. КООРДИНАЦІЯ ТА КОНТРОЛЬ ЗА ХОДОМ ВИКОНАННЯ ПРОГРАМИ</w:t>
            </w:r>
          </w:p>
          <w:p w14:paraId="26BD6841"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Координацію та контроль за ходом виконання Програми здійснює заступник голови Київської міської державної адміністрації, який згідно з розподілом обов'язків забезпечує здійснення повноважень виконавчого органу Київської міської ради (Київської міської державної адміністрації) у сфері охорони здоров'я.</w:t>
            </w:r>
          </w:p>
          <w:p w14:paraId="4B553AE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Безпосередній контроль за виконанням завдань і заходів Програми здійснює Департамент охорони здоров'я міста Києва, а за цільовим та ефективним використанням коштів, товарів тощо - розпорядники або </w:t>
            </w:r>
            <w:r w:rsidRPr="00CF1710">
              <w:rPr>
                <w:rFonts w:ascii="Times New Roman" w:hAnsi="Times New Roman" w:cs="Times New Roman"/>
                <w:sz w:val="24"/>
                <w:szCs w:val="24"/>
              </w:rPr>
              <w:lastRenderedPageBreak/>
              <w:t>одержувачі бюджетних коштів, які є співвиконавцями заходів Програми і яким передбачені бюджетні призначення на виконання заходів Програми або поставлені лікарські засоби, медичні вироби, лікувальне харчування тощо.</w:t>
            </w:r>
          </w:p>
          <w:p w14:paraId="1FC0F5E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разі неможливості або ризику невикористання лікарських засобів, медичних виробів, лікувального харчування та інших товарів, отриманих у межах реалізації заходів Програми, до закінчення строку їх придатності, співвиконавець заходів Програми зобов'язаний не пізніше ніж за шість місяців до закінчення строку придатності письмово поінформувати Департамент охорони здоров'я міста Києва та подати обґрунтовані пропозиції щодо їх подальшого використання, у тому числі шляхом перерозподілу.</w:t>
            </w:r>
          </w:p>
          <w:p w14:paraId="48A7484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за результатами розгляду поданих пропозицій приймає рішення щодо подальшого використання зазначених товарів, у тому числі їх перерозподілу між співвиконавцями заходів Програми або спрямування на реалізацію інших заходів Програми.</w:t>
            </w:r>
          </w:p>
          <w:p w14:paraId="548DD5E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Співвиконавці заходів Програми, зазначені в графі "Виконавці заходу" розділу "Перелік завдань і заходів міської цільової програми "Підтримка та розвиток галузі охорони здоров'я столиці" на 2024 - 2027 роки", щоквартально до 15 квітня, 15 липня, 15 жовтня звітного року, річний звіт - до 01 лютого року, що настає за звітним періодом, надають до Департаменту охорони здоров'я міста Києва узагальнені відомості про результати виконання Програми з визначенням динаміки цільових показників.</w:t>
            </w:r>
          </w:p>
          <w:p w14:paraId="60545C5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надає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14:paraId="1F66F90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квартальні звіти - до 01 травня, 01 серпня, 01 листопада звітного року;</w:t>
            </w:r>
          </w:p>
          <w:p w14:paraId="4C6D4F3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річний звіт - до 01 березня року, наступного за звітним;</w:t>
            </w:r>
          </w:p>
          <w:p w14:paraId="18842B7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заключний звіт та уточнені річні звіти (у разі потреби) - до 01 квітня року, наступного за звітним.</w:t>
            </w:r>
          </w:p>
          <w:p w14:paraId="21839F0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урахуванням реалізації заходів Програми та виділених у кожному поточному році фінансових ресурсів співвиконавці Програми надають свої пропозиції на наступний рік щодо обсягів фінансування з обґрунтуванням до Департамент охорони здоров'я міста Києва.</w:t>
            </w:r>
          </w:p>
          <w:p w14:paraId="5179085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щороку здійснює обґрунтовану оцінку результатів виконання Програми та, у разі потреби, розробляє пропозиції щодо доцільності продовження тих чи інших заходів, включення додаткових заходів і завдань, уточнення результативних показників та індикаторів Програми, обсягів і джерел фінансування, переліку співвиконавців, строків виконання Програми та окремих її завдань і заходів тощо.</w:t>
            </w:r>
          </w:p>
          <w:p w14:paraId="2B40E26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Департамент охорони здоров'я міста Києва в установлені терміни розміщує на Єдиному </w:t>
            </w:r>
            <w:proofErr w:type="spellStart"/>
            <w:r w:rsidRPr="00CF1710">
              <w:rPr>
                <w:rFonts w:ascii="Times New Roman" w:hAnsi="Times New Roman" w:cs="Times New Roman"/>
                <w:sz w:val="24"/>
                <w:szCs w:val="24"/>
              </w:rPr>
              <w:t>вебпорталі</w:t>
            </w:r>
            <w:proofErr w:type="spellEnd"/>
            <w:r w:rsidRPr="00CF1710">
              <w:rPr>
                <w:rFonts w:ascii="Times New Roman" w:hAnsi="Times New Roman" w:cs="Times New Roman"/>
                <w:sz w:val="24"/>
                <w:szCs w:val="24"/>
              </w:rPr>
              <w:t xml:space="preserve"> територіальної громади міста Києва річний (квартальний) звіт та заключний звіт про результати виконання Програми.</w:t>
            </w:r>
          </w:p>
          <w:p w14:paraId="73161058" w14:textId="77777777" w:rsidR="001C4D21"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 ініціативою Київської міської ради, виконавчого органу Київської міської ради (Київської міської державної адміністрації), Департаменту охорони здоров'я міста Києва або головного розпорядника коштів Програми, розгляд проміжного звіту про хід виконання Програми, ефективність реалізації її завдань і заходів, досягнення проміжних цілей та ефективність використання коштів може розглядатися на сесіях Київської міської ради і засіданнях відповідних постійних комісій Київської міської ради протягом року в разі виникнення потреби.</w:t>
            </w:r>
          </w:p>
          <w:p w14:paraId="6A8384A1" w14:textId="77777777" w:rsidR="003C0D53" w:rsidRDefault="003C0D53" w:rsidP="00CF1710">
            <w:pPr>
              <w:spacing w:after="75"/>
              <w:ind w:firstLine="240"/>
              <w:jc w:val="both"/>
              <w:rPr>
                <w:rFonts w:ascii="Times New Roman" w:hAnsi="Times New Roman" w:cs="Times New Roman"/>
                <w:sz w:val="24"/>
                <w:szCs w:val="24"/>
              </w:rPr>
            </w:pPr>
          </w:p>
          <w:p w14:paraId="52840208" w14:textId="77777777" w:rsidR="003C0D53" w:rsidRPr="003C0D53" w:rsidRDefault="003C0D53" w:rsidP="003C0D53">
            <w:pPr>
              <w:jc w:val="center"/>
              <w:rPr>
                <w:rFonts w:ascii="Times New Roman" w:hAnsi="Times New Roman" w:cs="Times New Roman"/>
                <w:sz w:val="24"/>
                <w:szCs w:val="24"/>
              </w:rPr>
            </w:pPr>
            <w:r w:rsidRPr="003C0D53">
              <w:rPr>
                <w:rFonts w:ascii="Times New Roman" w:hAnsi="Times New Roman" w:cs="Times New Roman"/>
                <w:sz w:val="24"/>
                <w:szCs w:val="24"/>
              </w:rPr>
              <w:t xml:space="preserve">Київський міський голова         </w:t>
            </w:r>
            <w:r>
              <w:rPr>
                <w:rFonts w:ascii="Times New Roman" w:hAnsi="Times New Roman" w:cs="Times New Roman"/>
                <w:sz w:val="24"/>
                <w:szCs w:val="24"/>
              </w:rPr>
              <w:t xml:space="preserve">      </w:t>
            </w:r>
            <w:r w:rsidRPr="003C0D53">
              <w:rPr>
                <w:rFonts w:ascii="Times New Roman" w:hAnsi="Times New Roman" w:cs="Times New Roman"/>
                <w:sz w:val="24"/>
                <w:szCs w:val="24"/>
              </w:rPr>
              <w:t xml:space="preserve">             Віталій КЛИЧКО</w:t>
            </w:r>
          </w:p>
          <w:p w14:paraId="1557FF41" w14:textId="5EEBFD20" w:rsidR="003C0D53" w:rsidRPr="00CF1710" w:rsidRDefault="003C0D53" w:rsidP="00CF1710">
            <w:pPr>
              <w:spacing w:after="75"/>
              <w:ind w:firstLine="240"/>
              <w:jc w:val="both"/>
              <w:rPr>
                <w:rFonts w:ascii="Times New Roman" w:hAnsi="Times New Roman" w:cs="Times New Roman"/>
                <w:color w:val="000000"/>
                <w:sz w:val="32"/>
              </w:rPr>
            </w:pPr>
          </w:p>
        </w:tc>
        <w:tc>
          <w:tcPr>
            <w:tcW w:w="7390" w:type="dxa"/>
          </w:tcPr>
          <w:tbl>
            <w:tblPr>
              <w:tblW w:w="7439" w:type="dxa"/>
              <w:tblLook w:val="0000" w:firstRow="0" w:lastRow="0" w:firstColumn="0" w:lastColumn="0" w:noHBand="0" w:noVBand="0"/>
            </w:tblPr>
            <w:tblGrid>
              <w:gridCol w:w="426"/>
              <w:gridCol w:w="1349"/>
              <w:gridCol w:w="1097"/>
              <w:gridCol w:w="1097"/>
              <w:gridCol w:w="1097"/>
              <w:gridCol w:w="1097"/>
              <w:gridCol w:w="1097"/>
            </w:tblGrid>
            <w:tr w:rsidR="00CF1710" w:rsidRPr="00CF1710" w14:paraId="1B677FD9"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641A154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1</w:t>
                  </w:r>
                </w:p>
              </w:tc>
              <w:tc>
                <w:tcPr>
                  <w:tcW w:w="1493" w:type="dxa"/>
                  <w:tcBorders>
                    <w:top w:val="outset" w:sz="8" w:space="0" w:color="000000"/>
                    <w:left w:val="outset" w:sz="8" w:space="0" w:color="000000"/>
                    <w:bottom w:val="outset" w:sz="8" w:space="0" w:color="000000"/>
                    <w:right w:val="outset" w:sz="8" w:space="0" w:color="000000"/>
                  </w:tcBorders>
                  <w:vAlign w:val="center"/>
                </w:tcPr>
                <w:p w14:paraId="57AEF44C"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Мета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6DDEE797"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Забезпечення надання мешканцям столиці якісної, доступної та безоплатної медичної допомоги шляхом підтримки й розвитку комунальних закладів охорони здоров'я та підприємств, установ і організацій комунальної власності територіальної громади міста Києва, що сприяють розвитку галузі охорони здоров'я та функціонуванню єдиного медичного простору, а також військовослужбовцям Збройних Сил України</w:t>
                  </w:r>
                </w:p>
              </w:tc>
            </w:tr>
            <w:tr w:rsidR="00CF1710" w:rsidRPr="00CF1710" w14:paraId="62344E8A"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6CA0623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w:t>
                  </w:r>
                </w:p>
              </w:tc>
              <w:tc>
                <w:tcPr>
                  <w:tcW w:w="1493" w:type="dxa"/>
                  <w:tcBorders>
                    <w:top w:val="outset" w:sz="8" w:space="0" w:color="000000"/>
                    <w:left w:val="outset" w:sz="8" w:space="0" w:color="000000"/>
                    <w:bottom w:val="outset" w:sz="8" w:space="0" w:color="000000"/>
                    <w:right w:val="outset" w:sz="8" w:space="0" w:color="000000"/>
                  </w:tcBorders>
                  <w:vAlign w:val="center"/>
                </w:tcPr>
                <w:p w14:paraId="5FE42B79"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4F649EFE"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Стратегічна ціль 1. Підвищення безпеки та якості життя мешканців / мешканок міста Києва Напрям 1.6. Охорона здоров'я та здоровий спосіб життя Оперативна ціль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w:t>
                  </w:r>
                </w:p>
              </w:tc>
            </w:tr>
            <w:tr w:rsidR="00CF1710" w:rsidRPr="00CF1710" w14:paraId="1833B6A1"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BB5DCE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3</w:t>
                  </w:r>
                </w:p>
              </w:tc>
              <w:tc>
                <w:tcPr>
                  <w:tcW w:w="1493" w:type="dxa"/>
                  <w:tcBorders>
                    <w:top w:val="outset" w:sz="8" w:space="0" w:color="000000"/>
                    <w:left w:val="outset" w:sz="8" w:space="0" w:color="000000"/>
                    <w:bottom w:val="outset" w:sz="8" w:space="0" w:color="000000"/>
                    <w:right w:val="outset" w:sz="8" w:space="0" w:color="000000"/>
                  </w:tcBorders>
                  <w:vAlign w:val="center"/>
                </w:tcPr>
                <w:p w14:paraId="5AE92CF0"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Дата, номер і назва розпорядчого документа про </w:t>
                  </w:r>
                  <w:r w:rsidRPr="00CF1710">
                    <w:rPr>
                      <w:rFonts w:ascii="Times New Roman" w:hAnsi="Times New Roman" w:cs="Times New Roman"/>
                      <w:sz w:val="19"/>
                      <w:szCs w:val="19"/>
                    </w:rPr>
                    <w:lastRenderedPageBreak/>
                    <w:t xml:space="preserve">розроблення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3E6DDFE9"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lastRenderedPageBreak/>
                    <w:t xml:space="preserve">Розпорядження Київського міського голови від 31.01.2023 N 66 "Про підготовку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міської цільової програми "Підтримка та розвиток галузі охорони здоров'я столиці" на 2024 - 2025 роки", лист Департаменту охорони здоров'я виконавчого органу Київської міської ради (Київської міської державної </w:t>
                  </w:r>
                  <w:r w:rsidRPr="00CF1710">
                    <w:rPr>
                      <w:rFonts w:ascii="Times New Roman" w:hAnsi="Times New Roman" w:cs="Times New Roman"/>
                      <w:sz w:val="19"/>
                      <w:szCs w:val="19"/>
                    </w:rPr>
                    <w:lastRenderedPageBreak/>
                    <w:t xml:space="preserve">адміністрації), N 061-4005 від 07.05.2025, - для проведення експертизи </w:t>
                  </w:r>
                  <w:proofErr w:type="spellStart"/>
                  <w:r w:rsidRPr="00CF1710">
                    <w:rPr>
                      <w:rFonts w:ascii="Times New Roman" w:hAnsi="Times New Roman" w:cs="Times New Roman"/>
                      <w:sz w:val="19"/>
                      <w:szCs w:val="19"/>
                    </w:rPr>
                    <w:t>проєкту</w:t>
                  </w:r>
                  <w:proofErr w:type="spellEnd"/>
                  <w:r w:rsidRPr="00CF1710">
                    <w:rPr>
                      <w:rFonts w:ascii="Times New Roman" w:hAnsi="Times New Roman" w:cs="Times New Roman"/>
                      <w:sz w:val="19"/>
                      <w:szCs w:val="19"/>
                    </w:rPr>
                    <w:t xml:space="preserve"> змін до міської цільової програми "Підтримка та розвиток галузі охорони здоров'я столиці" на 2024 - 2025 роки" з метою приведення у відповідність до актуалізованої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і продовження терміну дії до 2027 року</w:t>
                  </w:r>
                </w:p>
              </w:tc>
            </w:tr>
            <w:tr w:rsidR="00CF1710" w:rsidRPr="00CF1710" w14:paraId="31FFC4E9"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12F1EED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4</w:t>
                  </w:r>
                </w:p>
              </w:tc>
              <w:tc>
                <w:tcPr>
                  <w:tcW w:w="1493" w:type="dxa"/>
                  <w:tcBorders>
                    <w:top w:val="outset" w:sz="8" w:space="0" w:color="000000"/>
                    <w:left w:val="outset" w:sz="8" w:space="0" w:color="000000"/>
                    <w:bottom w:val="outset" w:sz="8" w:space="0" w:color="000000"/>
                    <w:right w:val="outset" w:sz="8" w:space="0" w:color="000000"/>
                  </w:tcBorders>
                  <w:vAlign w:val="center"/>
                </w:tcPr>
                <w:p w14:paraId="6663A7D5"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Розробник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182A8367"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Департамент охорони здоров'я виконавчого органу Київської міської ради (Київської міської державної адміністрації) (далі - Департамент охорони здоров'я міста Києва)</w:t>
                  </w:r>
                </w:p>
              </w:tc>
            </w:tr>
            <w:tr w:rsidR="00CF1710" w:rsidRPr="00CF1710" w14:paraId="4B61E0E6"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3C31E4D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w:t>
                  </w:r>
                </w:p>
              </w:tc>
              <w:tc>
                <w:tcPr>
                  <w:tcW w:w="1493" w:type="dxa"/>
                  <w:tcBorders>
                    <w:top w:val="outset" w:sz="8" w:space="0" w:color="000000"/>
                    <w:left w:val="outset" w:sz="8" w:space="0" w:color="000000"/>
                    <w:bottom w:val="outset" w:sz="8" w:space="0" w:color="000000"/>
                    <w:right w:val="outset" w:sz="8" w:space="0" w:color="000000"/>
                  </w:tcBorders>
                  <w:vAlign w:val="center"/>
                </w:tcPr>
                <w:p w14:paraId="6125609A"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Відповідальний виконавець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71F7D2E0"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Департамент охорони здоров'я міста Києва</w:t>
                  </w:r>
                </w:p>
              </w:tc>
            </w:tr>
            <w:tr w:rsidR="00CF1710" w:rsidRPr="00CF1710" w14:paraId="04457A22"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4FDA56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w:t>
                  </w:r>
                </w:p>
              </w:tc>
              <w:tc>
                <w:tcPr>
                  <w:tcW w:w="1493" w:type="dxa"/>
                  <w:tcBorders>
                    <w:top w:val="outset" w:sz="8" w:space="0" w:color="000000"/>
                    <w:left w:val="outset" w:sz="8" w:space="0" w:color="000000"/>
                    <w:bottom w:val="outset" w:sz="8" w:space="0" w:color="000000"/>
                    <w:right w:val="outset" w:sz="8" w:space="0" w:color="000000"/>
                  </w:tcBorders>
                  <w:vAlign w:val="center"/>
                </w:tcPr>
                <w:p w14:paraId="11BF560F"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Співвиконавці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745537AA" w14:textId="77777777" w:rsidR="00CF1710" w:rsidRPr="00CF1710" w:rsidRDefault="00CF1710" w:rsidP="00CF1710">
                  <w:pPr>
                    <w:widowControl w:val="0"/>
                    <w:spacing w:after="75"/>
                    <w:jc w:val="both"/>
                    <w:rPr>
                      <w:rFonts w:ascii="Times New Roman" w:hAnsi="Times New Roman" w:cs="Times New Roman"/>
                      <w:sz w:val="19"/>
                      <w:szCs w:val="19"/>
                    </w:rPr>
                  </w:pPr>
                  <w:r w:rsidRPr="00CF1710">
                    <w:rPr>
                      <w:rFonts w:ascii="Times New Roman" w:hAnsi="Times New Roman" w:cs="Times New Roman"/>
                      <w:sz w:val="19"/>
                      <w:szCs w:val="19"/>
                    </w:rPr>
                    <w:t>Апарат виконавчого органу Київської міської ради (Київської міської державної адміністрації); районні в місті Києві державні адміністрації (далі - РДА); Комунальне підприємство "Інженерний центр" виконавчого органу Київської міської ради (Київської міської державної адміністрації) (далі - КП "Інженерний центр"); Комунальне підприємство з питань будівництва житлових будинків "</w:t>
                  </w:r>
                  <w:proofErr w:type="spellStart"/>
                  <w:r w:rsidRPr="00CF1710">
                    <w:rPr>
                      <w:rFonts w:ascii="Times New Roman" w:hAnsi="Times New Roman" w:cs="Times New Roman"/>
                      <w:sz w:val="19"/>
                      <w:szCs w:val="19"/>
                    </w:rPr>
                    <w:t>Житлоінвестбуд</w:t>
                  </w:r>
                  <w:proofErr w:type="spellEnd"/>
                  <w:r w:rsidRPr="00CF1710">
                    <w:rPr>
                      <w:rFonts w:ascii="Times New Roman" w:hAnsi="Times New Roman" w:cs="Times New Roman"/>
                      <w:sz w:val="19"/>
                      <w:szCs w:val="19"/>
                    </w:rPr>
                    <w:t>-УКБ"; Комунальна організація "</w:t>
                  </w:r>
                  <w:proofErr w:type="spellStart"/>
                  <w:r w:rsidRPr="00CF1710">
                    <w:rPr>
                      <w:rFonts w:ascii="Times New Roman" w:hAnsi="Times New Roman" w:cs="Times New Roman"/>
                      <w:sz w:val="19"/>
                      <w:szCs w:val="19"/>
                    </w:rPr>
                    <w:t>Київмедспецтранс</w:t>
                  </w:r>
                  <w:proofErr w:type="spellEnd"/>
                  <w:r w:rsidRPr="00CF1710">
                    <w:rPr>
                      <w:rFonts w:ascii="Times New Roman" w:hAnsi="Times New Roman" w:cs="Times New Roman"/>
                      <w:sz w:val="19"/>
                      <w:szCs w:val="19"/>
                    </w:rPr>
                    <w:t>" (далі - КО "</w:t>
                  </w:r>
                  <w:proofErr w:type="spellStart"/>
                  <w:r w:rsidRPr="00CF1710">
                    <w:rPr>
                      <w:rFonts w:ascii="Times New Roman" w:hAnsi="Times New Roman" w:cs="Times New Roman"/>
                      <w:sz w:val="19"/>
                      <w:szCs w:val="19"/>
                    </w:rPr>
                    <w:t>Київмедспецтранс</w:t>
                  </w:r>
                  <w:proofErr w:type="spellEnd"/>
                  <w:r w:rsidRPr="00CF1710">
                    <w:rPr>
                      <w:rFonts w:ascii="Times New Roman" w:hAnsi="Times New Roman" w:cs="Times New Roman"/>
                      <w:sz w:val="19"/>
                      <w:szCs w:val="19"/>
                    </w:rPr>
                    <w:t xml:space="preserve">"); заклади охорони здоров'я, установи, підприємства, що засновані на комунальній власності територіальної громади міста Києва (далі - заклади охорони здоров'я, що засновані на комунальній власності територіальної громади міста Києва); Комунальне некомерційне підприємство "Київський міський інформаційно-аналітичний центр медичної статистики" виконавчого органу Київської міської ради (Київської міської державної адміністрації) (далі - КНП "Київський міський інформаційно-аналітичний центр медичної статистики"); Комунальне некомерційне підприємство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(далі - КНП "Центр екстреної медичної допомоги та медицини катастроф міста Києва"), Дитячий спеціалізований санаторій "Ялинка" Територіального медичного об'єднання "Санаторного лікування" у місті Києві (далі - Дитячий спеціалізований санаторій "Ялинка"), Дитячий </w:t>
                  </w:r>
                  <w:r w:rsidRPr="00CF1710">
                    <w:rPr>
                      <w:rFonts w:ascii="Times New Roman" w:hAnsi="Times New Roman" w:cs="Times New Roman"/>
                      <w:sz w:val="19"/>
                      <w:szCs w:val="19"/>
                    </w:rPr>
                    <w:lastRenderedPageBreak/>
                    <w:t>спеціалізований санаторій "Лісова поляна" Територіального медичного об'єднання "Санаторного лікування" у місті Києві (далі - Дитячий спеціалізований санаторій "Лісова поляна")</w:t>
                  </w:r>
                </w:p>
              </w:tc>
            </w:tr>
            <w:tr w:rsidR="00CF1710" w:rsidRPr="00CF1710" w14:paraId="023791BD"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786B2A1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7</w:t>
                  </w:r>
                </w:p>
              </w:tc>
              <w:tc>
                <w:tcPr>
                  <w:tcW w:w="1493" w:type="dxa"/>
                  <w:tcBorders>
                    <w:top w:val="outset" w:sz="8" w:space="0" w:color="000000"/>
                    <w:left w:val="outset" w:sz="8" w:space="0" w:color="000000"/>
                    <w:bottom w:val="outset" w:sz="8" w:space="0" w:color="000000"/>
                    <w:right w:val="outset" w:sz="8" w:space="0" w:color="000000"/>
                  </w:tcBorders>
                  <w:vAlign w:val="center"/>
                </w:tcPr>
                <w:p w14:paraId="423B8A7A"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Строки реалізації програми</w:t>
                  </w:r>
                </w:p>
              </w:tc>
              <w:tc>
                <w:tcPr>
                  <w:tcW w:w="5489" w:type="dxa"/>
                  <w:gridSpan w:val="5"/>
                  <w:tcBorders>
                    <w:top w:val="outset" w:sz="8" w:space="0" w:color="000000"/>
                    <w:left w:val="outset" w:sz="8" w:space="0" w:color="000000"/>
                    <w:bottom w:val="outset" w:sz="8" w:space="0" w:color="000000"/>
                    <w:right w:val="outset" w:sz="8" w:space="0" w:color="000000"/>
                  </w:tcBorders>
                  <w:vAlign w:val="center"/>
                </w:tcPr>
                <w:p w14:paraId="013C528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2024 - 2027 роки</w:t>
                  </w:r>
                </w:p>
              </w:tc>
            </w:tr>
            <w:tr w:rsidR="00CF1710" w:rsidRPr="00CF1710" w14:paraId="22C538A3" w14:textId="77777777" w:rsidTr="00A84088">
              <w:trPr>
                <w:trHeight w:val="45"/>
              </w:trPr>
              <w:tc>
                <w:tcPr>
                  <w:tcW w:w="457" w:type="dxa"/>
                  <w:vMerge w:val="restart"/>
                  <w:tcBorders>
                    <w:top w:val="outset" w:sz="8" w:space="0" w:color="000000"/>
                    <w:left w:val="outset" w:sz="8" w:space="0" w:color="000000"/>
                    <w:bottom w:val="outset" w:sz="8" w:space="0" w:color="000000"/>
                    <w:right w:val="outset" w:sz="8" w:space="0" w:color="000000"/>
                  </w:tcBorders>
                  <w:vAlign w:val="center"/>
                </w:tcPr>
                <w:p w14:paraId="28DEC11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w:t>
                  </w:r>
                </w:p>
              </w:tc>
              <w:tc>
                <w:tcPr>
                  <w:tcW w:w="1493" w:type="dxa"/>
                  <w:vMerge w:val="restart"/>
                  <w:tcBorders>
                    <w:top w:val="outset" w:sz="8" w:space="0" w:color="000000"/>
                    <w:left w:val="outset" w:sz="8" w:space="0" w:color="000000"/>
                    <w:bottom w:val="outset" w:sz="8" w:space="0" w:color="000000"/>
                    <w:right w:val="outset" w:sz="8" w:space="0" w:color="000000"/>
                  </w:tcBorders>
                  <w:vAlign w:val="center"/>
                </w:tcPr>
                <w:p w14:paraId="04A1CAD6"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Обсяги фінансових ресурсів, необхідних для реалізації програми</w:t>
                  </w:r>
                </w:p>
              </w:tc>
              <w:tc>
                <w:tcPr>
                  <w:tcW w:w="1227" w:type="dxa"/>
                  <w:vMerge w:val="restart"/>
                  <w:tcBorders>
                    <w:top w:val="outset" w:sz="8" w:space="0" w:color="000000"/>
                    <w:left w:val="outset" w:sz="8" w:space="0" w:color="000000"/>
                    <w:bottom w:val="outset" w:sz="8" w:space="0" w:color="000000"/>
                    <w:right w:val="outset" w:sz="8" w:space="0" w:color="000000"/>
                  </w:tcBorders>
                  <w:vAlign w:val="center"/>
                </w:tcPr>
                <w:p w14:paraId="4DEF1F2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Всього</w:t>
                  </w:r>
                  <w:r w:rsidRPr="00CF1710">
                    <w:rPr>
                      <w:rFonts w:ascii="Times New Roman" w:hAnsi="Times New Roman" w:cs="Times New Roman"/>
                      <w:sz w:val="19"/>
                      <w:szCs w:val="19"/>
                    </w:rPr>
                    <w:br/>
                    <w:t>(тис. грн)</w:t>
                  </w:r>
                </w:p>
              </w:tc>
              <w:tc>
                <w:tcPr>
                  <w:tcW w:w="4262" w:type="dxa"/>
                  <w:gridSpan w:val="4"/>
                  <w:tcBorders>
                    <w:top w:val="outset" w:sz="8" w:space="0" w:color="000000"/>
                    <w:left w:val="outset" w:sz="8" w:space="0" w:color="000000"/>
                    <w:bottom w:val="outset" w:sz="8" w:space="0" w:color="000000"/>
                    <w:right w:val="outset" w:sz="8" w:space="0" w:color="000000"/>
                  </w:tcBorders>
                  <w:vAlign w:val="center"/>
                </w:tcPr>
                <w:p w14:paraId="698B5EE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у тому числі за роками</w:t>
                  </w:r>
                </w:p>
              </w:tc>
            </w:tr>
            <w:tr w:rsidR="00CF1710" w:rsidRPr="00CF1710" w14:paraId="303578D4" w14:textId="77777777" w:rsidTr="00A84088">
              <w:trPr>
                <w:trHeight w:val="45"/>
              </w:trPr>
              <w:tc>
                <w:tcPr>
                  <w:tcW w:w="457" w:type="dxa"/>
                  <w:vMerge/>
                  <w:tcBorders>
                    <w:left w:val="outset" w:sz="8" w:space="0" w:color="000000"/>
                    <w:bottom w:val="outset" w:sz="8" w:space="0" w:color="000000"/>
                    <w:right w:val="outset" w:sz="8" w:space="0" w:color="000000"/>
                  </w:tcBorders>
                </w:tcPr>
                <w:p w14:paraId="031A81D6" w14:textId="77777777" w:rsidR="00CF1710" w:rsidRPr="00CF1710" w:rsidRDefault="00CF1710" w:rsidP="00CF1710">
                  <w:pPr>
                    <w:widowControl w:val="0"/>
                    <w:spacing w:after="200"/>
                    <w:rPr>
                      <w:rFonts w:ascii="Times New Roman" w:hAnsi="Times New Roman" w:cs="Times New Roman"/>
                      <w:sz w:val="19"/>
                      <w:szCs w:val="19"/>
                    </w:rPr>
                  </w:pPr>
                </w:p>
              </w:tc>
              <w:tc>
                <w:tcPr>
                  <w:tcW w:w="1493" w:type="dxa"/>
                  <w:vMerge/>
                  <w:tcBorders>
                    <w:left w:val="outset" w:sz="8" w:space="0" w:color="000000"/>
                    <w:bottom w:val="outset" w:sz="8" w:space="0" w:color="000000"/>
                    <w:right w:val="outset" w:sz="8" w:space="0" w:color="000000"/>
                  </w:tcBorders>
                </w:tcPr>
                <w:p w14:paraId="2AF3A032" w14:textId="77777777" w:rsidR="00CF1710" w:rsidRPr="00CF1710" w:rsidRDefault="00CF1710" w:rsidP="00CF1710">
                  <w:pPr>
                    <w:widowControl w:val="0"/>
                    <w:spacing w:after="200"/>
                    <w:rPr>
                      <w:rFonts w:ascii="Times New Roman" w:hAnsi="Times New Roman" w:cs="Times New Roman"/>
                      <w:sz w:val="19"/>
                      <w:szCs w:val="19"/>
                    </w:rPr>
                  </w:pPr>
                </w:p>
              </w:tc>
              <w:tc>
                <w:tcPr>
                  <w:tcW w:w="1227" w:type="dxa"/>
                  <w:vMerge/>
                  <w:tcBorders>
                    <w:left w:val="outset" w:sz="8" w:space="0" w:color="000000"/>
                    <w:bottom w:val="outset" w:sz="8" w:space="0" w:color="000000"/>
                    <w:right w:val="outset" w:sz="8" w:space="0" w:color="000000"/>
                  </w:tcBorders>
                </w:tcPr>
                <w:p w14:paraId="5F557382" w14:textId="77777777" w:rsidR="00CF1710" w:rsidRPr="00CF1710" w:rsidRDefault="00CF1710" w:rsidP="00CF1710">
                  <w:pPr>
                    <w:widowControl w:val="0"/>
                    <w:spacing w:after="200"/>
                    <w:rPr>
                      <w:rFonts w:ascii="Times New Roman" w:hAnsi="Times New Roman" w:cs="Times New Roman"/>
                      <w:sz w:val="19"/>
                      <w:szCs w:val="19"/>
                    </w:rPr>
                  </w:pPr>
                </w:p>
              </w:tc>
              <w:tc>
                <w:tcPr>
                  <w:tcW w:w="1227" w:type="dxa"/>
                  <w:tcBorders>
                    <w:top w:val="outset" w:sz="8" w:space="0" w:color="000000"/>
                    <w:left w:val="outset" w:sz="8" w:space="0" w:color="000000"/>
                    <w:bottom w:val="outset" w:sz="8" w:space="0" w:color="000000"/>
                    <w:right w:val="outset" w:sz="8" w:space="0" w:color="000000"/>
                  </w:tcBorders>
                  <w:vAlign w:val="center"/>
                </w:tcPr>
                <w:p w14:paraId="6C3D2EC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w:t>
                  </w:r>
                </w:p>
              </w:tc>
              <w:tc>
                <w:tcPr>
                  <w:tcW w:w="1227" w:type="dxa"/>
                  <w:tcBorders>
                    <w:top w:val="outset" w:sz="8" w:space="0" w:color="000000"/>
                    <w:left w:val="outset" w:sz="8" w:space="0" w:color="000000"/>
                    <w:bottom w:val="outset" w:sz="8" w:space="0" w:color="000000"/>
                    <w:right w:val="outset" w:sz="8" w:space="0" w:color="000000"/>
                  </w:tcBorders>
                  <w:vAlign w:val="center"/>
                </w:tcPr>
                <w:p w14:paraId="0239298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2025</w:t>
                  </w:r>
                </w:p>
              </w:tc>
              <w:tc>
                <w:tcPr>
                  <w:tcW w:w="1227" w:type="dxa"/>
                  <w:tcBorders>
                    <w:top w:val="outset" w:sz="8" w:space="0" w:color="000000"/>
                    <w:left w:val="outset" w:sz="8" w:space="0" w:color="000000"/>
                    <w:bottom w:val="outset" w:sz="8" w:space="0" w:color="000000"/>
                    <w:right w:val="outset" w:sz="8" w:space="0" w:color="000000"/>
                  </w:tcBorders>
                  <w:vAlign w:val="center"/>
                </w:tcPr>
                <w:p w14:paraId="65FA8BE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2026</w:t>
                  </w:r>
                </w:p>
              </w:tc>
              <w:tc>
                <w:tcPr>
                  <w:tcW w:w="581" w:type="dxa"/>
                  <w:tcBorders>
                    <w:top w:val="outset" w:sz="8" w:space="0" w:color="000000"/>
                    <w:left w:val="outset" w:sz="8" w:space="0" w:color="000000"/>
                    <w:bottom w:val="outset" w:sz="8" w:space="0" w:color="000000"/>
                    <w:right w:val="outset" w:sz="8" w:space="0" w:color="000000"/>
                  </w:tcBorders>
                  <w:vAlign w:val="center"/>
                </w:tcPr>
                <w:p w14:paraId="57D562A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2027</w:t>
                  </w:r>
                </w:p>
              </w:tc>
            </w:tr>
            <w:tr w:rsidR="00CF1710" w:rsidRPr="00CF1710" w14:paraId="4B8B54D1" w14:textId="77777777" w:rsidTr="00A84088">
              <w:trPr>
                <w:trHeight w:val="45"/>
              </w:trPr>
              <w:tc>
                <w:tcPr>
                  <w:tcW w:w="457" w:type="dxa"/>
                  <w:vMerge/>
                  <w:tcBorders>
                    <w:left w:val="outset" w:sz="8" w:space="0" w:color="000000"/>
                    <w:bottom w:val="outset" w:sz="8" w:space="0" w:color="000000"/>
                    <w:right w:val="outset" w:sz="8" w:space="0" w:color="000000"/>
                  </w:tcBorders>
                </w:tcPr>
                <w:p w14:paraId="0E693BA7" w14:textId="77777777" w:rsidR="00CF1710" w:rsidRPr="00CF1710" w:rsidRDefault="00CF1710" w:rsidP="00CF1710">
                  <w:pPr>
                    <w:widowControl w:val="0"/>
                    <w:spacing w:after="200"/>
                    <w:rPr>
                      <w:rFonts w:ascii="Times New Roman" w:hAnsi="Times New Roman" w:cs="Times New Roman"/>
                      <w:sz w:val="19"/>
                      <w:szCs w:val="19"/>
                    </w:rPr>
                  </w:pPr>
                </w:p>
              </w:tc>
              <w:tc>
                <w:tcPr>
                  <w:tcW w:w="1493" w:type="dxa"/>
                  <w:tcBorders>
                    <w:top w:val="outset" w:sz="8" w:space="0" w:color="000000"/>
                    <w:left w:val="outset" w:sz="8" w:space="0" w:color="000000"/>
                    <w:bottom w:val="outset" w:sz="8" w:space="0" w:color="000000"/>
                    <w:right w:val="outset" w:sz="8" w:space="0" w:color="000000"/>
                  </w:tcBorders>
                  <w:vAlign w:val="center"/>
                </w:tcPr>
                <w:p w14:paraId="762238F3"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Всього</w:t>
                  </w:r>
                </w:p>
              </w:tc>
              <w:tc>
                <w:tcPr>
                  <w:tcW w:w="1227" w:type="dxa"/>
                  <w:tcBorders>
                    <w:top w:val="outset" w:sz="8" w:space="0" w:color="000000"/>
                    <w:left w:val="outset" w:sz="8" w:space="0" w:color="000000"/>
                    <w:bottom w:val="outset" w:sz="8" w:space="0" w:color="000000"/>
                    <w:right w:val="outset" w:sz="8" w:space="0" w:color="000000"/>
                  </w:tcBorders>
                  <w:vAlign w:val="center"/>
                </w:tcPr>
                <w:p w14:paraId="19EFC6D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59047960,56</w:t>
                  </w:r>
                </w:p>
              </w:tc>
              <w:tc>
                <w:tcPr>
                  <w:tcW w:w="1227" w:type="dxa"/>
                  <w:tcBorders>
                    <w:top w:val="outset" w:sz="8" w:space="0" w:color="000000"/>
                    <w:left w:val="outset" w:sz="8" w:space="0" w:color="000000"/>
                    <w:bottom w:val="outset" w:sz="8" w:space="0" w:color="000000"/>
                    <w:right w:val="outset" w:sz="8" w:space="0" w:color="000000"/>
                  </w:tcBorders>
                  <w:vAlign w:val="center"/>
                </w:tcPr>
                <w:p w14:paraId="1EAB72E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12654915,74</w:t>
                  </w:r>
                </w:p>
              </w:tc>
              <w:tc>
                <w:tcPr>
                  <w:tcW w:w="1227" w:type="dxa"/>
                  <w:tcBorders>
                    <w:top w:val="outset" w:sz="8" w:space="0" w:color="000000"/>
                    <w:left w:val="outset" w:sz="8" w:space="0" w:color="000000"/>
                    <w:bottom w:val="outset" w:sz="8" w:space="0" w:color="000000"/>
                    <w:right w:val="outset" w:sz="8" w:space="0" w:color="000000"/>
                  </w:tcBorders>
                  <w:vAlign w:val="center"/>
                </w:tcPr>
                <w:p w14:paraId="3264EBF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14099405,63</w:t>
                  </w:r>
                </w:p>
              </w:tc>
              <w:tc>
                <w:tcPr>
                  <w:tcW w:w="1227" w:type="dxa"/>
                  <w:tcBorders>
                    <w:top w:val="outset" w:sz="8" w:space="0" w:color="000000"/>
                    <w:left w:val="outset" w:sz="8" w:space="0" w:color="000000"/>
                    <w:bottom w:val="outset" w:sz="8" w:space="0" w:color="000000"/>
                    <w:right w:val="outset" w:sz="8" w:space="0" w:color="000000"/>
                  </w:tcBorders>
                  <w:vAlign w:val="center"/>
                </w:tcPr>
                <w:p w14:paraId="64BDB5A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15672560,13</w:t>
                  </w:r>
                </w:p>
              </w:tc>
              <w:tc>
                <w:tcPr>
                  <w:tcW w:w="581" w:type="dxa"/>
                  <w:tcBorders>
                    <w:top w:val="outset" w:sz="8" w:space="0" w:color="000000"/>
                    <w:left w:val="outset" w:sz="8" w:space="0" w:color="000000"/>
                    <w:bottom w:val="outset" w:sz="8" w:space="0" w:color="000000"/>
                    <w:right w:val="outset" w:sz="8" w:space="0" w:color="000000"/>
                  </w:tcBorders>
                  <w:vAlign w:val="center"/>
                </w:tcPr>
                <w:p w14:paraId="5CEEADB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16621079,06</w:t>
                  </w:r>
                </w:p>
              </w:tc>
            </w:tr>
            <w:tr w:rsidR="00CF1710" w:rsidRPr="00CF1710" w14:paraId="17919E30"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3B41C21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493" w:type="dxa"/>
                  <w:tcBorders>
                    <w:top w:val="outset" w:sz="8" w:space="0" w:color="000000"/>
                    <w:left w:val="outset" w:sz="8" w:space="0" w:color="000000"/>
                    <w:bottom w:val="outset" w:sz="8" w:space="0" w:color="000000"/>
                    <w:right w:val="outset" w:sz="8" w:space="0" w:color="000000"/>
                  </w:tcBorders>
                  <w:vAlign w:val="center"/>
                </w:tcPr>
                <w:p w14:paraId="64C10430"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у тому числі за джерелами:</w:t>
                  </w:r>
                </w:p>
              </w:tc>
              <w:tc>
                <w:tcPr>
                  <w:tcW w:w="1227" w:type="dxa"/>
                  <w:tcBorders>
                    <w:top w:val="outset" w:sz="8" w:space="0" w:color="000000"/>
                    <w:left w:val="outset" w:sz="8" w:space="0" w:color="000000"/>
                    <w:bottom w:val="outset" w:sz="8" w:space="0" w:color="000000"/>
                    <w:right w:val="outset" w:sz="8" w:space="0" w:color="000000"/>
                  </w:tcBorders>
                  <w:vAlign w:val="center"/>
                </w:tcPr>
                <w:p w14:paraId="5BCA98F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065B8C1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011AC71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7B55A58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581" w:type="dxa"/>
                  <w:tcBorders>
                    <w:top w:val="outset" w:sz="8" w:space="0" w:color="000000"/>
                    <w:left w:val="outset" w:sz="8" w:space="0" w:color="000000"/>
                    <w:bottom w:val="outset" w:sz="8" w:space="0" w:color="000000"/>
                    <w:right w:val="outset" w:sz="8" w:space="0" w:color="000000"/>
                  </w:tcBorders>
                  <w:vAlign w:val="center"/>
                </w:tcPr>
                <w:p w14:paraId="1FBC583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6A8EA6BD"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486E473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8.1</w:t>
                  </w:r>
                </w:p>
              </w:tc>
              <w:tc>
                <w:tcPr>
                  <w:tcW w:w="1493" w:type="dxa"/>
                  <w:tcBorders>
                    <w:top w:val="outset" w:sz="8" w:space="0" w:color="000000"/>
                    <w:left w:val="outset" w:sz="8" w:space="0" w:color="000000"/>
                    <w:bottom w:val="outset" w:sz="8" w:space="0" w:color="000000"/>
                    <w:right w:val="outset" w:sz="8" w:space="0" w:color="000000"/>
                  </w:tcBorders>
                  <w:vAlign w:val="center"/>
                </w:tcPr>
                <w:p w14:paraId="49AFEB04"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державний бюджет</w:t>
                  </w:r>
                </w:p>
              </w:tc>
              <w:tc>
                <w:tcPr>
                  <w:tcW w:w="1227" w:type="dxa"/>
                  <w:tcBorders>
                    <w:top w:val="outset" w:sz="8" w:space="0" w:color="000000"/>
                    <w:left w:val="outset" w:sz="8" w:space="0" w:color="000000"/>
                    <w:bottom w:val="outset" w:sz="8" w:space="0" w:color="000000"/>
                    <w:right w:val="outset" w:sz="8" w:space="0" w:color="000000"/>
                  </w:tcBorders>
                  <w:vAlign w:val="center"/>
                </w:tcPr>
                <w:p w14:paraId="7CD7DBF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001E283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1FFA64B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27" w:type="dxa"/>
                  <w:tcBorders>
                    <w:top w:val="outset" w:sz="8" w:space="0" w:color="000000"/>
                    <w:left w:val="outset" w:sz="8" w:space="0" w:color="000000"/>
                    <w:bottom w:val="outset" w:sz="8" w:space="0" w:color="000000"/>
                    <w:right w:val="outset" w:sz="8" w:space="0" w:color="000000"/>
                  </w:tcBorders>
                  <w:vAlign w:val="center"/>
                </w:tcPr>
                <w:p w14:paraId="63F7391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581" w:type="dxa"/>
                  <w:tcBorders>
                    <w:top w:val="outset" w:sz="8" w:space="0" w:color="000000"/>
                    <w:left w:val="outset" w:sz="8" w:space="0" w:color="000000"/>
                    <w:bottom w:val="outset" w:sz="8" w:space="0" w:color="000000"/>
                    <w:right w:val="outset" w:sz="8" w:space="0" w:color="000000"/>
                  </w:tcBorders>
                  <w:vAlign w:val="center"/>
                </w:tcPr>
                <w:p w14:paraId="1E5629C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2992F0E4"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7D9F97D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8.2</w:t>
                  </w:r>
                </w:p>
              </w:tc>
              <w:tc>
                <w:tcPr>
                  <w:tcW w:w="1493" w:type="dxa"/>
                  <w:tcBorders>
                    <w:top w:val="outset" w:sz="8" w:space="0" w:color="000000"/>
                    <w:left w:val="outset" w:sz="8" w:space="0" w:color="000000"/>
                    <w:bottom w:val="outset" w:sz="8" w:space="0" w:color="000000"/>
                    <w:right w:val="outset" w:sz="8" w:space="0" w:color="000000"/>
                  </w:tcBorders>
                  <w:vAlign w:val="center"/>
                </w:tcPr>
                <w:p w14:paraId="6E921F79"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бюджет міста Києва</w:t>
                  </w:r>
                </w:p>
              </w:tc>
              <w:tc>
                <w:tcPr>
                  <w:tcW w:w="1227" w:type="dxa"/>
                  <w:tcBorders>
                    <w:top w:val="outset" w:sz="8" w:space="0" w:color="000000"/>
                    <w:left w:val="outset" w:sz="8" w:space="0" w:color="000000"/>
                    <w:bottom w:val="outset" w:sz="8" w:space="0" w:color="000000"/>
                    <w:right w:val="outset" w:sz="8" w:space="0" w:color="000000"/>
                  </w:tcBorders>
                  <w:vAlign w:val="center"/>
                </w:tcPr>
                <w:p w14:paraId="76CE60A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52415048,50</w:t>
                  </w:r>
                </w:p>
              </w:tc>
              <w:tc>
                <w:tcPr>
                  <w:tcW w:w="1227" w:type="dxa"/>
                  <w:tcBorders>
                    <w:top w:val="outset" w:sz="8" w:space="0" w:color="000000"/>
                    <w:left w:val="outset" w:sz="8" w:space="0" w:color="000000"/>
                    <w:bottom w:val="outset" w:sz="8" w:space="0" w:color="000000"/>
                    <w:right w:val="outset" w:sz="8" w:space="0" w:color="000000"/>
                  </w:tcBorders>
                  <w:vAlign w:val="center"/>
                </w:tcPr>
                <w:p w14:paraId="665F2F6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11048318,08</w:t>
                  </w:r>
                </w:p>
              </w:tc>
              <w:tc>
                <w:tcPr>
                  <w:tcW w:w="1227" w:type="dxa"/>
                  <w:tcBorders>
                    <w:top w:val="outset" w:sz="8" w:space="0" w:color="000000"/>
                    <w:left w:val="outset" w:sz="8" w:space="0" w:color="000000"/>
                    <w:bottom w:val="outset" w:sz="8" w:space="0" w:color="000000"/>
                    <w:right w:val="outset" w:sz="8" w:space="0" w:color="000000"/>
                  </w:tcBorders>
                  <w:vAlign w:val="center"/>
                </w:tcPr>
                <w:p w14:paraId="6CAA4D9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12942673,67</w:t>
                  </w:r>
                </w:p>
              </w:tc>
              <w:tc>
                <w:tcPr>
                  <w:tcW w:w="1227" w:type="dxa"/>
                  <w:tcBorders>
                    <w:top w:val="outset" w:sz="8" w:space="0" w:color="000000"/>
                    <w:left w:val="outset" w:sz="8" w:space="0" w:color="000000"/>
                    <w:bottom w:val="outset" w:sz="8" w:space="0" w:color="000000"/>
                    <w:right w:val="outset" w:sz="8" w:space="0" w:color="000000"/>
                  </w:tcBorders>
                  <w:vAlign w:val="center"/>
                </w:tcPr>
                <w:p w14:paraId="5C6EBAF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13810393,41</w:t>
                  </w:r>
                </w:p>
              </w:tc>
              <w:tc>
                <w:tcPr>
                  <w:tcW w:w="581" w:type="dxa"/>
                  <w:tcBorders>
                    <w:top w:val="outset" w:sz="8" w:space="0" w:color="000000"/>
                    <w:left w:val="outset" w:sz="8" w:space="0" w:color="000000"/>
                    <w:bottom w:val="outset" w:sz="8" w:space="0" w:color="000000"/>
                    <w:right w:val="outset" w:sz="8" w:space="0" w:color="000000"/>
                  </w:tcBorders>
                  <w:vAlign w:val="center"/>
                </w:tcPr>
                <w:p w14:paraId="1F08A44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14613663,34</w:t>
                  </w:r>
                </w:p>
              </w:tc>
            </w:tr>
            <w:tr w:rsidR="00CF1710" w:rsidRPr="00CF1710" w14:paraId="532745A8" w14:textId="77777777" w:rsidTr="00A84088">
              <w:trPr>
                <w:trHeight w:val="45"/>
              </w:trPr>
              <w:tc>
                <w:tcPr>
                  <w:tcW w:w="457" w:type="dxa"/>
                  <w:tcBorders>
                    <w:top w:val="outset" w:sz="8" w:space="0" w:color="000000"/>
                    <w:left w:val="outset" w:sz="8" w:space="0" w:color="000000"/>
                    <w:bottom w:val="outset" w:sz="8" w:space="0" w:color="000000"/>
                    <w:right w:val="outset" w:sz="8" w:space="0" w:color="000000"/>
                  </w:tcBorders>
                  <w:vAlign w:val="center"/>
                </w:tcPr>
                <w:p w14:paraId="05301E0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8.3</w:t>
                  </w:r>
                </w:p>
              </w:tc>
              <w:tc>
                <w:tcPr>
                  <w:tcW w:w="1493" w:type="dxa"/>
                  <w:tcBorders>
                    <w:top w:val="outset" w:sz="8" w:space="0" w:color="000000"/>
                    <w:left w:val="outset" w:sz="8" w:space="0" w:color="000000"/>
                    <w:bottom w:val="outset" w:sz="8" w:space="0" w:color="000000"/>
                    <w:right w:val="outset" w:sz="8" w:space="0" w:color="000000"/>
                  </w:tcBorders>
                  <w:vAlign w:val="center"/>
                </w:tcPr>
                <w:p w14:paraId="21FD3CDA"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інші джерела</w:t>
                  </w:r>
                </w:p>
              </w:tc>
              <w:tc>
                <w:tcPr>
                  <w:tcW w:w="1227" w:type="dxa"/>
                  <w:tcBorders>
                    <w:top w:val="outset" w:sz="8" w:space="0" w:color="000000"/>
                    <w:left w:val="outset" w:sz="8" w:space="0" w:color="000000"/>
                    <w:bottom w:val="outset" w:sz="8" w:space="0" w:color="000000"/>
                    <w:right w:val="outset" w:sz="8" w:space="0" w:color="000000"/>
                  </w:tcBorders>
                  <w:vAlign w:val="center"/>
                </w:tcPr>
                <w:p w14:paraId="0B143B2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6632912,06</w:t>
                  </w:r>
                </w:p>
              </w:tc>
              <w:tc>
                <w:tcPr>
                  <w:tcW w:w="1227" w:type="dxa"/>
                  <w:tcBorders>
                    <w:top w:val="outset" w:sz="8" w:space="0" w:color="000000"/>
                    <w:left w:val="outset" w:sz="8" w:space="0" w:color="000000"/>
                    <w:bottom w:val="outset" w:sz="8" w:space="0" w:color="000000"/>
                    <w:right w:val="outset" w:sz="8" w:space="0" w:color="000000"/>
                  </w:tcBorders>
                  <w:vAlign w:val="center"/>
                </w:tcPr>
                <w:p w14:paraId="222E3DB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1606597,66</w:t>
                  </w:r>
                </w:p>
              </w:tc>
              <w:tc>
                <w:tcPr>
                  <w:tcW w:w="1227" w:type="dxa"/>
                  <w:tcBorders>
                    <w:top w:val="outset" w:sz="8" w:space="0" w:color="000000"/>
                    <w:left w:val="outset" w:sz="8" w:space="0" w:color="000000"/>
                    <w:bottom w:val="outset" w:sz="8" w:space="0" w:color="000000"/>
                    <w:right w:val="outset" w:sz="8" w:space="0" w:color="000000"/>
                  </w:tcBorders>
                  <w:vAlign w:val="center"/>
                </w:tcPr>
                <w:p w14:paraId="630209D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1156731,96</w:t>
                  </w:r>
                </w:p>
              </w:tc>
              <w:tc>
                <w:tcPr>
                  <w:tcW w:w="1227" w:type="dxa"/>
                  <w:tcBorders>
                    <w:top w:val="outset" w:sz="8" w:space="0" w:color="000000"/>
                    <w:left w:val="outset" w:sz="8" w:space="0" w:color="000000"/>
                    <w:bottom w:val="outset" w:sz="8" w:space="0" w:color="000000"/>
                    <w:right w:val="outset" w:sz="8" w:space="0" w:color="000000"/>
                  </w:tcBorders>
                  <w:vAlign w:val="center"/>
                </w:tcPr>
                <w:p w14:paraId="60415D9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1862166,72</w:t>
                  </w:r>
                </w:p>
              </w:tc>
              <w:tc>
                <w:tcPr>
                  <w:tcW w:w="581" w:type="dxa"/>
                  <w:tcBorders>
                    <w:top w:val="outset" w:sz="8" w:space="0" w:color="000000"/>
                    <w:left w:val="outset" w:sz="8" w:space="0" w:color="000000"/>
                    <w:bottom w:val="outset" w:sz="8" w:space="0" w:color="000000"/>
                    <w:right w:val="outset" w:sz="8" w:space="0" w:color="000000"/>
                  </w:tcBorders>
                  <w:vAlign w:val="center"/>
                </w:tcPr>
                <w:p w14:paraId="46AF6E4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2007415,72</w:t>
                  </w:r>
                </w:p>
              </w:tc>
            </w:tr>
          </w:tbl>
          <w:p w14:paraId="7A8B4FD3"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II. ВИЗНАЧЕННЯ ПРОБЛЕМ, НА РОЗВ'ЯЗАННЯ ЯКИХ СПРЯМОВАНА ПРОГРАМА</w:t>
            </w:r>
          </w:p>
          <w:p w14:paraId="4D825E11"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Реалізація завдань і заходів міської цільової програми "Підтримка та розвиток галузі охорони здоров'я столиці" на 2024 - 2027 роки спрямована на досягнення оперативної цілі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 напряму 1.6 "Охорона здоров'я та здоровий спосіб життя",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w:t>
            </w:r>
          </w:p>
          <w:p w14:paraId="1D5F9B4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Міську цільову програму "Підтримка та розвиток галузі охорони здоров'я столиці" на 2024 - 2027 роки (далі - Програма) розроблено з урахуванням законів України "Про місцеве самоврядування в Україні", "Про забезпечення рівних прав та можливостей жінок і чоловіків", "Про місцеві державні адміністрації", "Про державні фінансові гарантії медичного обслуговування населення" (далі - Закон), Державної стратегії регіонального розвитку на 2021 - 2027 роки, затвердженої постановою Кабінету Міністрів України від 05 серпня 2020 року N 695, Концепції реформи фінансування системи охорони здоров'я, схваленої розпорядженням Кабінету Міністрів України від 30 листопада 2016 року N 1013-р (далі - Концепція реформи), Указу Президента України від 30 вересня 2019 року N 722/2019 "Про Цілі сталого розвитку України на період до 2030 року",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w:t>
            </w:r>
          </w:p>
          <w:p w14:paraId="77D5ACB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2020 року відповідно до Бюджетного кодексу України, Концепції реформи, Закону запроваджено нову модель фінансування закладів охорони здоров'я, яка передбачає перехід у використанні бюджетних коштів від утримання державних і комунальних лікувально-профілактичних закладів до оплати відповідних медичних послуг.</w:t>
            </w:r>
          </w:p>
          <w:p w14:paraId="5B50D1B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Оплата медичних послуг здійснюється Національною службою здоров'я України на підставі укладених договорів, згідно з тарифами та умовами, визначеними Порядком реалізації програми державних гарантій медичного обслуговування населення (далі - Порядок).</w:t>
            </w:r>
          </w:p>
          <w:p w14:paraId="468A011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Статтею 10 Закону передбачено, що оплаті за рахунок коштів Державного бюджету України підлягають лікарські засоби, які включені до Національного переліку основних лікарських засобів, затвердженого постановою Кабінету Міністрів України від 25 березня 2009 року N 333 "Деякі питання державного регулювання цін на лікарські засоби і вироби медичного призначення".</w:t>
            </w:r>
          </w:p>
          <w:p w14:paraId="3759B91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Відповідно до частини першої статті 3 Закону України "Про державні фінансові гарантії медичного обслуговування населення" N </w:t>
            </w:r>
            <w:r w:rsidRPr="00CF1710">
              <w:rPr>
                <w:rFonts w:ascii="Times New Roman" w:hAnsi="Times New Roman" w:cs="Times New Roman"/>
                <w:sz w:val="24"/>
                <w:szCs w:val="24"/>
              </w:rPr>
              <w:lastRenderedPageBreak/>
              <w:t>2168-VIII від 19 жовтня 2017 року держава гарантує повну оплату згідно з тарифом, за рахунок коштів Державного бюджету України, надання громадянам необхідних медичних послуг та лікарських засобів, що передбачені програмою державних гарантій медичного обслуговування населення.</w:t>
            </w:r>
          </w:p>
          <w:p w14:paraId="081F3F8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Як наслідок, забезпечення покращених умов перебування пацієнток і пацієнтів у закладах охорони здоров'я, упровадження в медичній практиці закладів охорони здоров'я сучасних підходів до лікування пацієнтів (технологічних, підвищення рівня виявлення захворюваності), оновлення матеріально-технічної бази, тарифи на медичні послуги, що оплачуються Національною службою здоров'я України, не покривають.</w:t>
            </w:r>
          </w:p>
          <w:p w14:paraId="31D4645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До того ж частиною п'ятою статті 3 цього Закону передбачено, що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здоров'я, зокрема щодо оновлення матеріально-технічної бази, капітального ремонту, реконструкції, а також місцеві програми надання населенню медичних послуг та інші програми в охороні здоров'я.</w:t>
            </w:r>
          </w:p>
          <w:p w14:paraId="3C1A896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Виникає необхідність у додаткових ресурсах для покращення умов перебування пацієнтів у закладах охорони здоров'я, подальшого оновлення матеріально-технічної бази, у тому числі придбання обладнання, з метою впровадження сучасних технологій у медичну практику та лікування, а отже - покращення якості медичної допомоги.</w:t>
            </w:r>
          </w:p>
          <w:p w14:paraId="6116949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Протягом 2024 року в межах Програми, за рахунок коштів бюджету міста Києва, проведено капітальні ремонти на 94 об'єктах, на 2025 рік передбачено проведення ремонтів ще на 54 об'єктах, до того ж близько 175 об'єктів наразі потребують капітального ремонту. На 11 об'єктах у 2024 році проводили реконструкцію, реставрацію та будівництво, у 2025 році заплановано провести на - 8 об'єктах.</w:t>
            </w:r>
          </w:p>
          <w:p w14:paraId="3A4FC3C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2024 році в межах заходів із підвищення якості медичних послуг здійснено оновлення матеріально-технічної бази закладів охорони </w:t>
            </w:r>
            <w:r w:rsidRPr="00CF1710">
              <w:rPr>
                <w:rFonts w:ascii="Times New Roman" w:hAnsi="Times New Roman" w:cs="Times New Roman"/>
                <w:sz w:val="24"/>
                <w:szCs w:val="24"/>
              </w:rPr>
              <w:lastRenderedPageBreak/>
              <w:t>здоров'я шляхом придбання 690 одиниць обладнання. На 2025 рік заплановано закупити ще 119 одиниць сучасного медичного обладнання.</w:t>
            </w:r>
          </w:p>
          <w:p w14:paraId="21161EA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огляду на зазначене, продовження заходів із модернізації закладів охорони здоров'я є необхідною умовою для підвищення якості та доступності медичних послуг.</w:t>
            </w:r>
          </w:p>
          <w:p w14:paraId="68A2CE7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Аналіз динаміки основних показників закладів охорони здоров'я комунальної власності територіальної громади міста Києва (далі - ЗОЗ) засвідчив, що в умовах воєнного стану у зв'язку зі збройною агресією Російської Федерації проти України, усі комунальні ЗОЗ продовжують функціонувати та надавати необхідну медичну допомогу всім, хто її потребує, у тому числі внутрішньо переміщеним особам і військовослужбовцям, до того ж збільшуються обсяги надання медичної допомоги.</w:t>
            </w:r>
          </w:p>
          <w:p w14:paraId="48D6ED3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Так, у 2024 році в </w:t>
            </w:r>
            <w:proofErr w:type="spellStart"/>
            <w:r w:rsidRPr="00CF1710">
              <w:rPr>
                <w:rFonts w:ascii="Times New Roman" w:hAnsi="Times New Roman" w:cs="Times New Roman"/>
                <w:sz w:val="24"/>
                <w:szCs w:val="24"/>
              </w:rPr>
              <w:t>пологодопоміжних</w:t>
            </w:r>
            <w:proofErr w:type="spellEnd"/>
            <w:r w:rsidRPr="00CF1710">
              <w:rPr>
                <w:rFonts w:ascii="Times New Roman" w:hAnsi="Times New Roman" w:cs="Times New Roman"/>
                <w:sz w:val="24"/>
                <w:szCs w:val="24"/>
              </w:rPr>
              <w:t xml:space="preserve"> ЗОЗ народилося 20912 дітей, що на 946 дітей більше, ніж у 2023 році (2023 рік - 19966, 2022 рік - 17501).</w:t>
            </w:r>
          </w:p>
          <w:p w14:paraId="78563B5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стаціонарних закладах збільшилася кількість пролікованих хворих на 58201 особу та становила у 2024 році 519267 осіб (2023 рік - 461066), у тому числі пройшли лікування в стаціонарах міста 23790 військовослужбовців (2023 рік - 18327).</w:t>
            </w:r>
          </w:p>
          <w:p w14:paraId="1F2FE1A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2024 році було проведено 205987 оперативних </w:t>
            </w:r>
            <w:proofErr w:type="spellStart"/>
            <w:r w:rsidRPr="00CF1710">
              <w:rPr>
                <w:rFonts w:ascii="Times New Roman" w:hAnsi="Times New Roman" w:cs="Times New Roman"/>
                <w:sz w:val="24"/>
                <w:szCs w:val="24"/>
              </w:rPr>
              <w:t>втручань</w:t>
            </w:r>
            <w:proofErr w:type="spellEnd"/>
            <w:r w:rsidRPr="00CF1710">
              <w:rPr>
                <w:rFonts w:ascii="Times New Roman" w:hAnsi="Times New Roman" w:cs="Times New Roman"/>
                <w:sz w:val="24"/>
                <w:szCs w:val="24"/>
              </w:rPr>
              <w:t xml:space="preserve"> (2023 рік - 180303), у тому числі 19326 військовослужбовцям (2023 рік - 11721).</w:t>
            </w:r>
          </w:p>
          <w:p w14:paraId="0AEFDA1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Збільшилася кількість проведених кардіохірургічних операцій на 40 % </w:t>
            </w:r>
            <w:proofErr w:type="spellStart"/>
            <w:r w:rsidRPr="00CF1710">
              <w:rPr>
                <w:rFonts w:ascii="Times New Roman" w:hAnsi="Times New Roman" w:cs="Times New Roman"/>
                <w:sz w:val="24"/>
                <w:szCs w:val="24"/>
              </w:rPr>
              <w:t>порівнянно</w:t>
            </w:r>
            <w:proofErr w:type="spellEnd"/>
            <w:r w:rsidRPr="00CF1710">
              <w:rPr>
                <w:rFonts w:ascii="Times New Roman" w:hAnsi="Times New Roman" w:cs="Times New Roman"/>
                <w:sz w:val="24"/>
                <w:szCs w:val="24"/>
              </w:rPr>
              <w:t xml:space="preserve"> з 2023 роком - з 8036 у 2023 році до 11257 у 2024 році. У тому числі було проведено високотехнологічних операцій: з імплантації кардіостимулятора - 462 (2023 рік - 353), зі </w:t>
            </w:r>
            <w:proofErr w:type="spellStart"/>
            <w:r w:rsidRPr="00CF1710">
              <w:rPr>
                <w:rFonts w:ascii="Times New Roman" w:hAnsi="Times New Roman" w:cs="Times New Roman"/>
                <w:sz w:val="24"/>
                <w:szCs w:val="24"/>
              </w:rPr>
              <w:t>стентування</w:t>
            </w:r>
            <w:proofErr w:type="spellEnd"/>
            <w:r w:rsidRPr="00CF1710">
              <w:rPr>
                <w:rFonts w:ascii="Times New Roman" w:hAnsi="Times New Roman" w:cs="Times New Roman"/>
                <w:sz w:val="24"/>
                <w:szCs w:val="24"/>
              </w:rPr>
              <w:t xml:space="preserve"> коронарних артерій - 3445 (2023 рік - 2036); на відкритому серці - 440 (2023 рік - 362). Проведено нейрохірургічних операцій 5548 (2023 рік - 5937), операцій з </w:t>
            </w:r>
            <w:proofErr w:type="spellStart"/>
            <w:r w:rsidRPr="00CF1710">
              <w:rPr>
                <w:rFonts w:ascii="Times New Roman" w:hAnsi="Times New Roman" w:cs="Times New Roman"/>
                <w:sz w:val="24"/>
                <w:szCs w:val="24"/>
              </w:rPr>
              <w:t>ендопротезування</w:t>
            </w:r>
            <w:proofErr w:type="spellEnd"/>
            <w:r w:rsidRPr="00CF1710">
              <w:rPr>
                <w:rFonts w:ascii="Times New Roman" w:hAnsi="Times New Roman" w:cs="Times New Roman"/>
                <w:sz w:val="24"/>
                <w:szCs w:val="24"/>
              </w:rPr>
              <w:t xml:space="preserve"> суглобів - 4475 (2023 рік - 3621), операцій з імплантації штучних кришталиків - 3757 (2023 рік - 4542).</w:t>
            </w:r>
          </w:p>
          <w:p w14:paraId="2E8EA72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Збільшилася кількість пролікованих хворих внаслідок гострого інфаркту міокарда - з 3101 у 2023 році до 3847 у 2024 рік. Слід зазначити, що летальність від цієї недуги знизилася до 15,1 % проти 19,3 % у 2023 році. Проліковано хворих внаслідок інсульту головного мозку 12260 (2023 рік - 11602), зменшення летальності з 16,8 % до 15,8 %.</w:t>
            </w:r>
          </w:p>
          <w:p w14:paraId="31B06F1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Завдяки своєчасно проведеному лікуванню показник виживаності онкологічних хворих протягом п'яти і більше років після встановлення діагнозу залишається стабільним із тенденцією до зростання: у 2024 році він становив 70,5 %, що перевищує показник 2023 року (69 %).</w:t>
            </w:r>
          </w:p>
          <w:p w14:paraId="58A2CE53" w14:textId="77777777" w:rsidR="00CF1710" w:rsidRPr="00CF1710" w:rsidRDefault="00CF1710" w:rsidP="00CF1710">
            <w:pPr>
              <w:spacing w:after="75"/>
              <w:ind w:firstLine="240"/>
              <w:jc w:val="both"/>
              <w:rPr>
                <w:rFonts w:ascii="Times New Roman" w:hAnsi="Times New Roman" w:cs="Times New Roman"/>
                <w:sz w:val="24"/>
                <w:szCs w:val="24"/>
              </w:rPr>
            </w:pPr>
            <w:proofErr w:type="spellStart"/>
            <w:r w:rsidRPr="00CF1710">
              <w:rPr>
                <w:rFonts w:ascii="Times New Roman" w:hAnsi="Times New Roman" w:cs="Times New Roman"/>
                <w:sz w:val="24"/>
                <w:szCs w:val="24"/>
              </w:rPr>
              <w:t>Нутритивне</w:t>
            </w:r>
            <w:proofErr w:type="spellEnd"/>
            <w:r w:rsidRPr="00CF1710">
              <w:rPr>
                <w:rFonts w:ascii="Times New Roman" w:hAnsi="Times New Roman" w:cs="Times New Roman"/>
                <w:sz w:val="24"/>
                <w:szCs w:val="24"/>
              </w:rPr>
              <w:t xml:space="preserve"> харчування онкологічних хворих передбачено пунктом 7 Плану дій з реалізації у 2026 - 2028 роках Національної стратегії контролю злоякісних новоутворень на період до 2030 року, затвердженого розпорядженням Кабінету Міністрів України від 18 лютого 2026 року N 165-р "Про затвердження плану дій з реалізації у 2026 - 2028 роках Національної стратегії контролю злоякісних новоутворень на період до 2030 року", відіграє важливу роль у лікуванні онкологічних і паліативних пацієнтів, які потребують відповідного доступу до </w:t>
            </w:r>
            <w:proofErr w:type="spellStart"/>
            <w:r w:rsidRPr="00CF1710">
              <w:rPr>
                <w:rFonts w:ascii="Times New Roman" w:hAnsi="Times New Roman" w:cs="Times New Roman"/>
                <w:sz w:val="24"/>
                <w:szCs w:val="24"/>
              </w:rPr>
              <w:t>нутритивного</w:t>
            </w:r>
            <w:proofErr w:type="spellEnd"/>
            <w:r w:rsidRPr="00CF1710">
              <w:rPr>
                <w:rFonts w:ascii="Times New Roman" w:hAnsi="Times New Roman" w:cs="Times New Roman"/>
                <w:sz w:val="24"/>
                <w:szCs w:val="24"/>
              </w:rPr>
              <w:t xml:space="preserve"> харчування.</w:t>
            </w:r>
          </w:p>
          <w:p w14:paraId="78D2217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Функціонують два заклади комунальної власності територіальної громади міста Києва, де здійснюються трансплантації органів і тканин (Комунальне некомерційне підприємство "Київський міський центр нефрології та гемодіалізу", Комунальне некомерційне підприємство "Київська міська клінічна лікарня N 1"). Загалом у 2024 році було проведено 80 трансплантацій органів та 74 трансплантації стовбурових клітин. У 2024 році Комунальне некомерційне підприємство "Київський міський центр нефрології та гемодіалізу" посів 2 рейтингове місце серед 28 закладів України, Комунальне некомерційне підприємство "Київська міська клінічна лікарня N 1" - 4 місце.</w:t>
            </w:r>
          </w:p>
          <w:p w14:paraId="305BA25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Фінансування заходів Програми дало можливість у 2024 році безоплатно забезпечити 751 пацієнта слуховими апаратами в загальній кількості 931 одиниця (у 2023 рік - 824), 12 хворим було імплантовано </w:t>
            </w:r>
            <w:proofErr w:type="spellStart"/>
            <w:r w:rsidRPr="00CF1710">
              <w:rPr>
                <w:rFonts w:ascii="Times New Roman" w:hAnsi="Times New Roman" w:cs="Times New Roman"/>
                <w:sz w:val="24"/>
                <w:szCs w:val="24"/>
              </w:rPr>
              <w:t>кохлеарні</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імпланти</w:t>
            </w:r>
            <w:proofErr w:type="spellEnd"/>
            <w:r w:rsidRPr="00CF1710">
              <w:rPr>
                <w:rFonts w:ascii="Times New Roman" w:hAnsi="Times New Roman" w:cs="Times New Roman"/>
                <w:sz w:val="24"/>
                <w:szCs w:val="24"/>
              </w:rPr>
              <w:t xml:space="preserve"> (у 2023 рік - 2), причому зазначені операції вперше </w:t>
            </w:r>
            <w:r w:rsidRPr="00CF1710">
              <w:rPr>
                <w:rFonts w:ascii="Times New Roman" w:hAnsi="Times New Roman" w:cs="Times New Roman"/>
                <w:sz w:val="24"/>
                <w:szCs w:val="24"/>
              </w:rPr>
              <w:lastRenderedPageBreak/>
              <w:t xml:space="preserve">почали проводити на базі Комунального некомерційного підприємства "Свято-Михайлівська клінічна лікарня міста Києва". Крім того 12 пацієнтів забезпечено </w:t>
            </w:r>
            <w:proofErr w:type="spellStart"/>
            <w:r w:rsidRPr="00CF1710">
              <w:rPr>
                <w:rFonts w:ascii="Times New Roman" w:hAnsi="Times New Roman" w:cs="Times New Roman"/>
                <w:sz w:val="24"/>
                <w:szCs w:val="24"/>
              </w:rPr>
              <w:t>мовними</w:t>
            </w:r>
            <w:proofErr w:type="spellEnd"/>
            <w:r w:rsidRPr="00CF1710">
              <w:rPr>
                <w:rFonts w:ascii="Times New Roman" w:hAnsi="Times New Roman" w:cs="Times New Roman"/>
                <w:sz w:val="24"/>
                <w:szCs w:val="24"/>
              </w:rPr>
              <w:t xml:space="preserve"> процесорами. Збільшилася кількість хворих, яким проведено операції з приводу </w:t>
            </w:r>
            <w:proofErr w:type="spellStart"/>
            <w:r w:rsidRPr="00CF1710">
              <w:rPr>
                <w:rFonts w:ascii="Times New Roman" w:hAnsi="Times New Roman" w:cs="Times New Roman"/>
                <w:sz w:val="24"/>
                <w:szCs w:val="24"/>
              </w:rPr>
              <w:t>ендопротезування</w:t>
            </w:r>
            <w:proofErr w:type="spellEnd"/>
            <w:r w:rsidRPr="00CF1710">
              <w:rPr>
                <w:rFonts w:ascii="Times New Roman" w:hAnsi="Times New Roman" w:cs="Times New Roman"/>
                <w:sz w:val="24"/>
                <w:szCs w:val="24"/>
              </w:rPr>
              <w:t xml:space="preserve"> суглобів - 2710 (у 2023 рік - 1940), імплантації штучних кришталиків - 1519 (у 2023 рік - 1311), кардіохірургічні операції - 8763 (у 2023 році - 5112), нейрохірургічні операції - 1675 (у 2023 рік - 1183).</w:t>
            </w:r>
          </w:p>
          <w:p w14:paraId="4670774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зв'язку зі збройною агресією Російської Федерації та збільшенням кількості військовослужбовців Збройних Сил України, яких евакуйовують для стаціонарного лікування до закладів охорони здоров'я міста Києва, виникла необхідність поширити заходи Програми на таких осіб незалежно від зареєстрованого місця проживання (перебування).</w:t>
            </w:r>
          </w:p>
          <w:p w14:paraId="639C4F5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 умовах воєнного стану кількість хворих із тяжкими станами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xml:space="preserve"> значно збільшилася, значний ресурс отриманих коштів від Національної служби здоров'я України витрачається на виплату заробітної плати, забезпечення лікарськими засобами з Національного переліку основних лікарських засобів та загалом на утримання відділення.</w:t>
            </w:r>
          </w:p>
          <w:p w14:paraId="7E9D463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Опікові хворі потребують додаткового ресурсу на лікування особливо з середнім та тяжким ступенем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яких за 2024 рік було проліковано близько 653 пацієнти.</w:t>
            </w:r>
          </w:p>
          <w:p w14:paraId="729BF5A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Загалом більшість стаціонарних хворих із хронічними та гострими станами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xml:space="preserve"> потребують додаткового ресурсу на лікування, лікувальне харчування тощо.</w:t>
            </w:r>
          </w:p>
          <w:p w14:paraId="642D39E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До тарифів на медичні послуги, що фінансуються за рахунок програми медичних гарантій, не включається вартість лікарських засобів, медичних виробів і витратних матеріалів, які підлягають централізованому забезпеченню за кошти інших державних програм, до того ж переліки відповідних </w:t>
            </w:r>
            <w:proofErr w:type="spellStart"/>
            <w:r w:rsidRPr="00CF1710">
              <w:rPr>
                <w:rFonts w:ascii="Times New Roman" w:hAnsi="Times New Roman" w:cs="Times New Roman"/>
                <w:sz w:val="24"/>
                <w:szCs w:val="24"/>
              </w:rPr>
              <w:t>номенклатур</w:t>
            </w:r>
            <w:proofErr w:type="spellEnd"/>
            <w:r w:rsidRPr="00CF1710">
              <w:rPr>
                <w:rFonts w:ascii="Times New Roman" w:hAnsi="Times New Roman" w:cs="Times New Roman"/>
                <w:sz w:val="24"/>
                <w:szCs w:val="24"/>
              </w:rPr>
              <w:t xml:space="preserve">, визначені постановою Кабінету Міністрів України від 07 березня 2022 року N 216, не охоплюють повного обсягу необхідних позицій, а постачання </w:t>
            </w:r>
            <w:r w:rsidRPr="00CF1710">
              <w:rPr>
                <w:rFonts w:ascii="Times New Roman" w:hAnsi="Times New Roman" w:cs="Times New Roman"/>
                <w:sz w:val="24"/>
                <w:szCs w:val="24"/>
              </w:rPr>
              <w:lastRenderedPageBreak/>
              <w:t>здійснюється несвоєчасно та в обсягах, що не забезпечують фактичної потреби пацієнтів столиці. Постановою Кабінету Міністрів України від 30 грудня 2022 року N 1483 "Про реалізацію експериментального проекту з впровадження та функціонування електронної системи управління запасами лікарських засобів та медичних виробів "e-</w:t>
            </w:r>
            <w:proofErr w:type="spellStart"/>
            <w:r w:rsidRPr="00CF1710">
              <w:rPr>
                <w:rFonts w:ascii="Times New Roman" w:hAnsi="Times New Roman" w:cs="Times New Roman"/>
                <w:sz w:val="24"/>
                <w:szCs w:val="24"/>
              </w:rPr>
              <w:t>Stock</w:t>
            </w:r>
            <w:proofErr w:type="spellEnd"/>
            <w:r w:rsidRPr="00CF1710">
              <w:rPr>
                <w:rFonts w:ascii="Times New Roman" w:hAnsi="Times New Roman" w:cs="Times New Roman"/>
                <w:sz w:val="24"/>
                <w:szCs w:val="24"/>
              </w:rPr>
              <w:t>" передбачається затвердження Київською міською державною адміністрацією заходів щодо забезпечення лікарськими засобами та спеціалізованими харчовими продуктами громадян, які страждають на рідкісні (</w:t>
            </w:r>
            <w:proofErr w:type="spellStart"/>
            <w:r w:rsidRPr="00CF1710">
              <w:rPr>
                <w:rFonts w:ascii="Times New Roman" w:hAnsi="Times New Roman" w:cs="Times New Roman"/>
                <w:sz w:val="24"/>
                <w:szCs w:val="24"/>
              </w:rPr>
              <w:t>орфанні</w:t>
            </w:r>
            <w:proofErr w:type="spellEnd"/>
            <w:r w:rsidRPr="00CF1710">
              <w:rPr>
                <w:rFonts w:ascii="Times New Roman" w:hAnsi="Times New Roman" w:cs="Times New Roman"/>
                <w:sz w:val="24"/>
                <w:szCs w:val="24"/>
              </w:rPr>
              <w:t>) захворювання, за рахунок коштів місцевого бюджету.</w:t>
            </w:r>
          </w:p>
          <w:p w14:paraId="3612379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Слід зауважити, що частиною третьою статті 4 Закону визначено, що медичні послуги, лікарські засоби та медичні вироби, не включені до програми медичних гарантій, не підлягають оплаті за рахунок коштів Державного бюджету України, передбачених на реалізацію програми медичних гарантій, але можуть покриватися за рахунок коштів Державного бюджету України, передбачених на реалізацію відповідних державних програм і заходів, місцевих бюджетів, медичного страхування, юридичних і фізичних осіб та з інших джерел, не заборонених законодавством. Також, статтею 32 Закону України "Про місцеве самоврядування в Україні" до відання виконавчих органів сільських, селищних, міських рад належать делеговані повноваження, зокрема, віднесено забезпечення доступності та безоплатності медичного обслуговування на відповідній території, забезпечення відповідно до законодавства пільгових категорій населення лікарськими засобами та медичними виробами, забезпечення розвитку всіх видів медичного обслуговування.</w:t>
            </w:r>
          </w:p>
          <w:p w14:paraId="73EB874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Пацієнти з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xml:space="preserve"> захворюваннями, розсіяним склерозом, первинними </w:t>
            </w:r>
            <w:proofErr w:type="spellStart"/>
            <w:r w:rsidRPr="00CF1710">
              <w:rPr>
                <w:rFonts w:ascii="Times New Roman" w:hAnsi="Times New Roman" w:cs="Times New Roman"/>
                <w:sz w:val="24"/>
                <w:szCs w:val="24"/>
              </w:rPr>
              <w:t>імунодефіцитами</w:t>
            </w:r>
            <w:proofErr w:type="spellEnd"/>
            <w:r w:rsidRPr="00CF1710">
              <w:rPr>
                <w:rFonts w:ascii="Times New Roman" w:hAnsi="Times New Roman" w:cs="Times New Roman"/>
                <w:sz w:val="24"/>
                <w:szCs w:val="24"/>
              </w:rPr>
              <w:t xml:space="preserve"> тощо, які перебувають під диспансерним наглядом, потребують безперервного медикаментозного лікування, витрати на яке не забезпечуються в повному обсязі за рахунок державної програми, що зумовлює потребу в додатковому місцевому фінансуванні.</w:t>
            </w:r>
          </w:p>
          <w:p w14:paraId="2DB280F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 xml:space="preserve">Окремо слід зазначити, що в межах державної програми "Доступні ліки" пацієнти з поширеними хронічними захворюваннями, зокрема серцево-судинними, бронхіальною астмою, цукровим діабетом, мають право на безоплатне або частково оплачуване забезпечення певними групами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необхідних лікарських засобів, що значно підвищує рівень доступності медикаментозної допомоги, однак не покриває повного спектра забезпечення потреб мешканців столиці.</w:t>
            </w:r>
          </w:p>
          <w:p w14:paraId="3409940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Безоплатний або пільговий відпуск лікарських засобів за рецептами лікарів у разі амбулаторного лікування для окремих груп населення та за визначеними категоріями захворювань передбачено постановою Кабінету Міністрів України від 17 серпня 1998 року N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до того ж відповідні витрати покриваються за рахунок коштів муніципальних програм.</w:t>
            </w:r>
          </w:p>
          <w:p w14:paraId="6E80179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Враховуючи викладене, забезпечення лікарськими засобами та медичними виробами є одним із ключових аспектів подальшого надання фінансової підтримки з бюджету міста Києва з метою гарантування доступності, своєчасності та безперервності медичної допомоги населенню.</w:t>
            </w:r>
          </w:p>
          <w:p w14:paraId="4316209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Протягом 2024 року 22 заклади охорони здоров'я міста Києва отримали кошти для безоплатного та пільгового відпуску лікарських засобів відповідно до постанови Кабінету Міністрів України від 17 серпня 1998 року N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 лікарськими засобами, що не ввійшли до програми "Доступні ліки". За звітний період з бюджету міста Києва було виділено кошти на загальну суму 160229,06 тис. грн, освоєно - 159674,80 тис. грн, що становить - 99,6 % від запланованого обсягу.</w:t>
            </w:r>
          </w:p>
          <w:p w14:paraId="42EE5E1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Саме Програма забезпечує підтримку пацієнтів із рідкісними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xml:space="preserve">) захворюваннями шляхом фінансування закупівлі </w:t>
            </w:r>
            <w:r w:rsidRPr="00CF1710">
              <w:rPr>
                <w:rFonts w:ascii="Times New Roman" w:hAnsi="Times New Roman" w:cs="Times New Roman"/>
                <w:sz w:val="24"/>
                <w:szCs w:val="24"/>
              </w:rPr>
              <w:lastRenderedPageBreak/>
              <w:t>лікарських засобів і медичних виробів, які не покриваються або лише частково забезпечуються за рахунок коштів державного бюджету, зокрема забезпечення:</w:t>
            </w:r>
          </w:p>
          <w:p w14:paraId="4D9C422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лікарськими засобами пацієнтів дитячого віку з передчасним статевим розвитком аналогами </w:t>
            </w:r>
            <w:proofErr w:type="spellStart"/>
            <w:r w:rsidRPr="00CF1710">
              <w:rPr>
                <w:rFonts w:ascii="Times New Roman" w:hAnsi="Times New Roman" w:cs="Times New Roman"/>
                <w:sz w:val="24"/>
                <w:szCs w:val="24"/>
              </w:rPr>
              <w:t>гонадотропін-рилізинг</w:t>
            </w:r>
            <w:proofErr w:type="spellEnd"/>
            <w:r w:rsidRPr="00CF1710">
              <w:rPr>
                <w:rFonts w:ascii="Times New Roman" w:hAnsi="Times New Roman" w:cs="Times New Roman"/>
                <w:sz w:val="24"/>
                <w:szCs w:val="24"/>
              </w:rPr>
              <w:t xml:space="preserve"> гормону, хворих на акромегалію, системну склеродермію, системні </w:t>
            </w:r>
            <w:proofErr w:type="spellStart"/>
            <w:r w:rsidRPr="00CF1710">
              <w:rPr>
                <w:rFonts w:ascii="Times New Roman" w:hAnsi="Times New Roman" w:cs="Times New Roman"/>
                <w:sz w:val="24"/>
                <w:szCs w:val="24"/>
              </w:rPr>
              <w:t>васкуліти</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спондилоартрити</w:t>
            </w:r>
            <w:proofErr w:type="spellEnd"/>
            <w:r w:rsidRPr="00CF1710">
              <w:rPr>
                <w:rFonts w:ascii="Times New Roman" w:hAnsi="Times New Roman" w:cs="Times New Roman"/>
                <w:sz w:val="24"/>
                <w:szCs w:val="24"/>
              </w:rPr>
              <w:t xml:space="preserve">, із </w:t>
            </w:r>
            <w:proofErr w:type="spellStart"/>
            <w:r w:rsidRPr="00CF1710">
              <w:rPr>
                <w:rFonts w:ascii="Times New Roman" w:hAnsi="Times New Roman" w:cs="Times New Roman"/>
                <w:sz w:val="24"/>
                <w:szCs w:val="24"/>
              </w:rPr>
              <w:t>демієлінізуючими</w:t>
            </w:r>
            <w:proofErr w:type="spellEnd"/>
            <w:r w:rsidRPr="00CF1710">
              <w:rPr>
                <w:rFonts w:ascii="Times New Roman" w:hAnsi="Times New Roman" w:cs="Times New Roman"/>
                <w:sz w:val="24"/>
                <w:szCs w:val="24"/>
              </w:rPr>
              <w:t xml:space="preserve"> захворюваннями нервової системи, </w:t>
            </w:r>
            <w:proofErr w:type="spellStart"/>
            <w:r w:rsidRPr="00CF1710">
              <w:rPr>
                <w:rFonts w:ascii="Times New Roman" w:hAnsi="Times New Roman" w:cs="Times New Roman"/>
                <w:sz w:val="24"/>
                <w:szCs w:val="24"/>
              </w:rPr>
              <w:t>ідіопатичну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тромбоцитопенічну</w:t>
            </w:r>
            <w:proofErr w:type="spellEnd"/>
            <w:r w:rsidRPr="00CF1710">
              <w:rPr>
                <w:rFonts w:ascii="Times New Roman" w:hAnsi="Times New Roman" w:cs="Times New Roman"/>
                <w:sz w:val="24"/>
                <w:szCs w:val="24"/>
              </w:rPr>
              <w:t xml:space="preserve"> пурпуру тощо;</w:t>
            </w:r>
          </w:p>
          <w:p w14:paraId="7EA32CB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лікувальним харчуванням: хворих на </w:t>
            </w:r>
            <w:proofErr w:type="spellStart"/>
            <w:r w:rsidRPr="00CF1710">
              <w:rPr>
                <w:rFonts w:ascii="Times New Roman" w:hAnsi="Times New Roman" w:cs="Times New Roman"/>
                <w:sz w:val="24"/>
                <w:szCs w:val="24"/>
              </w:rPr>
              <w:t>тирозинемію</w:t>
            </w:r>
            <w:proofErr w:type="spellEnd"/>
            <w:r w:rsidRPr="00CF1710">
              <w:rPr>
                <w:rFonts w:ascii="Times New Roman" w:hAnsi="Times New Roman" w:cs="Times New Roman"/>
                <w:sz w:val="24"/>
                <w:szCs w:val="24"/>
              </w:rPr>
              <w:t xml:space="preserve">, пацієнтів дитячого віку, на </w:t>
            </w:r>
            <w:proofErr w:type="spellStart"/>
            <w:r w:rsidRPr="00CF1710">
              <w:rPr>
                <w:rFonts w:ascii="Times New Roman" w:hAnsi="Times New Roman" w:cs="Times New Roman"/>
                <w:sz w:val="24"/>
                <w:szCs w:val="24"/>
              </w:rPr>
              <w:t>метілмалонову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аміноацидурію</w:t>
            </w:r>
            <w:proofErr w:type="spellEnd"/>
            <w:r w:rsidRPr="00CF1710">
              <w:rPr>
                <w:rFonts w:ascii="Times New Roman" w:hAnsi="Times New Roman" w:cs="Times New Roman"/>
                <w:sz w:val="24"/>
                <w:szCs w:val="24"/>
              </w:rPr>
              <w:t xml:space="preserve">,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тощо.</w:t>
            </w:r>
          </w:p>
          <w:p w14:paraId="54F7FC3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Загалом за кошти Програми протягом 2024 року забезпечено лікування більше ніж 1600 пацієнтів із рідкісними захворюваннями, що дало змогу своєчасно надати медичну допомогу та покращити якість життя осіб із тяжкими хронічними станами.</w:t>
            </w:r>
          </w:p>
          <w:p w14:paraId="4893B49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Слід зазначити, що пацієнти і пацієнтки, які перебувають під диспансерним наглядом (</w:t>
            </w:r>
            <w:proofErr w:type="spellStart"/>
            <w:r w:rsidRPr="00CF1710">
              <w:rPr>
                <w:rFonts w:ascii="Times New Roman" w:hAnsi="Times New Roman" w:cs="Times New Roman"/>
                <w:sz w:val="24"/>
                <w:szCs w:val="24"/>
              </w:rPr>
              <w:t>орфанні</w:t>
            </w:r>
            <w:proofErr w:type="spellEnd"/>
            <w:r w:rsidRPr="00CF1710">
              <w:rPr>
                <w:rFonts w:ascii="Times New Roman" w:hAnsi="Times New Roman" w:cs="Times New Roman"/>
                <w:sz w:val="24"/>
                <w:szCs w:val="24"/>
              </w:rPr>
              <w:t xml:space="preserve"> захворювання, розсіяний склероз, первинний імунодефіцит тощо), потребують безперервного лікування, але централізовані поставки медичних виробів і лікарських засобів за кошти державного бюджету та окремих державних програм і заходів програмного характеру не задовольняють фактичних потреб пацієнтів міста Києва в повному обсязі. Зокрема, забезпечення препаратами гормону росту для дітей, хворих на </w:t>
            </w:r>
            <w:proofErr w:type="spellStart"/>
            <w:r w:rsidRPr="00CF1710">
              <w:rPr>
                <w:rFonts w:ascii="Times New Roman" w:hAnsi="Times New Roman" w:cs="Times New Roman"/>
                <w:sz w:val="24"/>
                <w:szCs w:val="24"/>
              </w:rPr>
              <w:t>гіпофізарний</w:t>
            </w:r>
            <w:proofErr w:type="spellEnd"/>
            <w:r w:rsidRPr="00CF1710">
              <w:rPr>
                <w:rFonts w:ascii="Times New Roman" w:hAnsi="Times New Roman" w:cs="Times New Roman"/>
                <w:sz w:val="24"/>
                <w:szCs w:val="24"/>
              </w:rPr>
              <w:t xml:space="preserve"> нанізм та нанізм різного походження, становить лише 2,6 % від потреби для вікової групи до 10 років і 17,4 % - для дітей після 10 років, що в середньому становить лише 10 % від загальної потреби. Забезпечення лікарськими засобами хворих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дорназа</w:t>
            </w:r>
            <w:proofErr w:type="spellEnd"/>
            <w:r w:rsidRPr="00CF1710">
              <w:rPr>
                <w:rFonts w:ascii="Times New Roman" w:hAnsi="Times New Roman" w:cs="Times New Roman"/>
                <w:sz w:val="24"/>
                <w:szCs w:val="24"/>
              </w:rPr>
              <w:t xml:space="preserve"> альфа 2,5 мг - 19,6 %, </w:t>
            </w:r>
            <w:proofErr w:type="spellStart"/>
            <w:r w:rsidRPr="00CF1710">
              <w:rPr>
                <w:rFonts w:ascii="Times New Roman" w:hAnsi="Times New Roman" w:cs="Times New Roman"/>
                <w:sz w:val="24"/>
                <w:szCs w:val="24"/>
              </w:rPr>
              <w:t>колістиметат</w:t>
            </w:r>
            <w:proofErr w:type="spellEnd"/>
            <w:r w:rsidRPr="00CF1710">
              <w:rPr>
                <w:rFonts w:ascii="Times New Roman" w:hAnsi="Times New Roman" w:cs="Times New Roman"/>
                <w:sz w:val="24"/>
                <w:szCs w:val="24"/>
              </w:rPr>
              <w:t xml:space="preserve"> натрію - 48,6 %, панкреатин 25000 ОД - 30,8 %, панкреатин 10000 ОД - 67,9 %, середній рівень забезпечення - 41,7 %. Забезпечення лікарськими засобами хворих на ювенільний </w:t>
            </w:r>
            <w:proofErr w:type="spellStart"/>
            <w:r w:rsidRPr="00CF1710">
              <w:rPr>
                <w:rFonts w:ascii="Times New Roman" w:hAnsi="Times New Roman" w:cs="Times New Roman"/>
                <w:sz w:val="24"/>
                <w:szCs w:val="24"/>
              </w:rPr>
              <w:t>ревматоїдний</w:t>
            </w:r>
            <w:proofErr w:type="spellEnd"/>
            <w:r w:rsidRPr="00CF1710">
              <w:rPr>
                <w:rFonts w:ascii="Times New Roman" w:hAnsi="Times New Roman" w:cs="Times New Roman"/>
                <w:sz w:val="24"/>
                <w:szCs w:val="24"/>
              </w:rPr>
              <w:t xml:space="preserve"> артрит: середній рівень забезпечення - 32,9 % (залежно від препарату коливається від 1,4 % до 56,6 %). Забезпечення лікарськими засобами пацієнтів із хворобою </w:t>
            </w:r>
            <w:proofErr w:type="spellStart"/>
            <w:r w:rsidRPr="00CF1710">
              <w:rPr>
                <w:rFonts w:ascii="Times New Roman" w:hAnsi="Times New Roman" w:cs="Times New Roman"/>
                <w:sz w:val="24"/>
                <w:szCs w:val="24"/>
              </w:rPr>
              <w:t>Гоше</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таліглюцераза</w:t>
            </w:r>
            <w:proofErr w:type="spellEnd"/>
            <w:r w:rsidRPr="00CF1710">
              <w:rPr>
                <w:rFonts w:ascii="Times New Roman" w:hAnsi="Times New Roman" w:cs="Times New Roman"/>
                <w:sz w:val="24"/>
                <w:szCs w:val="24"/>
              </w:rPr>
              <w:t xml:space="preserve"> </w:t>
            </w:r>
            <w:r w:rsidRPr="00CF1710">
              <w:rPr>
                <w:rFonts w:ascii="Times New Roman" w:hAnsi="Times New Roman" w:cs="Times New Roman"/>
                <w:sz w:val="24"/>
                <w:szCs w:val="24"/>
              </w:rPr>
              <w:lastRenderedPageBreak/>
              <w:t xml:space="preserve">альфа - 118 % (надлишок сформовано за рахунок попереднього бюджетного року), </w:t>
            </w:r>
            <w:proofErr w:type="spellStart"/>
            <w:r w:rsidRPr="00CF1710">
              <w:rPr>
                <w:rFonts w:ascii="Times New Roman" w:hAnsi="Times New Roman" w:cs="Times New Roman"/>
                <w:sz w:val="24"/>
                <w:szCs w:val="24"/>
              </w:rPr>
              <w:t>велаглюцераза</w:t>
            </w:r>
            <w:proofErr w:type="spellEnd"/>
            <w:r w:rsidRPr="00CF1710">
              <w:rPr>
                <w:rFonts w:ascii="Times New Roman" w:hAnsi="Times New Roman" w:cs="Times New Roman"/>
                <w:sz w:val="24"/>
                <w:szCs w:val="24"/>
              </w:rPr>
              <w:t xml:space="preserve"> альфа - 67,5 %, </w:t>
            </w:r>
            <w:proofErr w:type="spellStart"/>
            <w:r w:rsidRPr="00CF1710">
              <w:rPr>
                <w:rFonts w:ascii="Times New Roman" w:hAnsi="Times New Roman" w:cs="Times New Roman"/>
                <w:sz w:val="24"/>
                <w:szCs w:val="24"/>
              </w:rPr>
              <w:t>іміглюцераза</w:t>
            </w:r>
            <w:proofErr w:type="spellEnd"/>
            <w:r w:rsidRPr="00CF1710">
              <w:rPr>
                <w:rFonts w:ascii="Times New Roman" w:hAnsi="Times New Roman" w:cs="Times New Roman"/>
                <w:sz w:val="24"/>
                <w:szCs w:val="24"/>
              </w:rPr>
              <w:t xml:space="preserve"> - 42,7 %, середній рівень забезпечення - 76 %. Забезпечення медичними виробами хворих на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із 17 позицій не закуплено 3, середній рівень забезпечення - 48,7 %. Забезпечення лікарськими засобами пацієнтів із хворобою Кавасакі: визначити рівень забезпечення неможливо через об'єднання номенклатури з медикаментами для пацієнтів із первинними </w:t>
            </w:r>
            <w:proofErr w:type="spellStart"/>
            <w:r w:rsidRPr="00CF1710">
              <w:rPr>
                <w:rFonts w:ascii="Times New Roman" w:hAnsi="Times New Roman" w:cs="Times New Roman"/>
                <w:sz w:val="24"/>
                <w:szCs w:val="24"/>
              </w:rPr>
              <w:t>імунодефіцитами</w:t>
            </w:r>
            <w:proofErr w:type="spellEnd"/>
            <w:r w:rsidRPr="00CF1710">
              <w:rPr>
                <w:rFonts w:ascii="Times New Roman" w:hAnsi="Times New Roman" w:cs="Times New Roman"/>
                <w:sz w:val="24"/>
                <w:szCs w:val="24"/>
              </w:rPr>
              <w:t xml:space="preserve">. Забезпечення лікарськими засобами хворих на легеневу гіпертензію: середній рівень забезпечення - 40,6 %, до того ж деякі препарати, зокрема </w:t>
            </w:r>
            <w:proofErr w:type="spellStart"/>
            <w:r w:rsidRPr="00CF1710">
              <w:rPr>
                <w:rFonts w:ascii="Times New Roman" w:hAnsi="Times New Roman" w:cs="Times New Roman"/>
                <w:sz w:val="24"/>
                <w:szCs w:val="24"/>
              </w:rPr>
              <w:t>Амбрізентан</w:t>
            </w:r>
            <w:proofErr w:type="spellEnd"/>
            <w:r w:rsidRPr="00CF1710">
              <w:rPr>
                <w:rFonts w:ascii="Times New Roman" w:hAnsi="Times New Roman" w:cs="Times New Roman"/>
                <w:sz w:val="24"/>
                <w:szCs w:val="24"/>
              </w:rPr>
              <w:t xml:space="preserve"> і </w:t>
            </w:r>
            <w:proofErr w:type="spellStart"/>
            <w:r w:rsidRPr="00CF1710">
              <w:rPr>
                <w:rFonts w:ascii="Times New Roman" w:hAnsi="Times New Roman" w:cs="Times New Roman"/>
                <w:sz w:val="24"/>
                <w:szCs w:val="24"/>
              </w:rPr>
              <w:t>Силденафіл</w:t>
            </w:r>
            <w:proofErr w:type="spellEnd"/>
            <w:r w:rsidRPr="00CF1710">
              <w:rPr>
                <w:rFonts w:ascii="Times New Roman" w:hAnsi="Times New Roman" w:cs="Times New Roman"/>
                <w:sz w:val="24"/>
                <w:szCs w:val="24"/>
              </w:rPr>
              <w:t xml:space="preserve">, не поставлені взагалі. Забезпечення лікарськими засобами для проведення замісної терапії хворим на </w:t>
            </w:r>
            <w:proofErr w:type="spellStart"/>
            <w:r w:rsidRPr="00CF1710">
              <w:rPr>
                <w:rFonts w:ascii="Times New Roman" w:hAnsi="Times New Roman" w:cs="Times New Roman"/>
                <w:sz w:val="24"/>
                <w:szCs w:val="24"/>
              </w:rPr>
              <w:t>коагулопатію</w:t>
            </w:r>
            <w:proofErr w:type="spellEnd"/>
            <w:r w:rsidRPr="00CF1710">
              <w:rPr>
                <w:rFonts w:ascii="Times New Roman" w:hAnsi="Times New Roman" w:cs="Times New Roman"/>
                <w:sz w:val="24"/>
                <w:szCs w:val="24"/>
              </w:rPr>
              <w:t xml:space="preserve">: рівень забезпечення для дорослих - 52,1 %, для дітей - 45,1 %. Забезпечення лікарськими засобами хворих на </w:t>
            </w:r>
            <w:proofErr w:type="spellStart"/>
            <w:r w:rsidRPr="00CF1710">
              <w:rPr>
                <w:rFonts w:ascii="Times New Roman" w:hAnsi="Times New Roman" w:cs="Times New Roman"/>
                <w:sz w:val="24"/>
                <w:szCs w:val="24"/>
              </w:rPr>
              <w:t>спінально</w:t>
            </w:r>
            <w:proofErr w:type="spellEnd"/>
            <w:r w:rsidRPr="00CF1710">
              <w:rPr>
                <w:rFonts w:ascii="Times New Roman" w:hAnsi="Times New Roman" w:cs="Times New Roman"/>
                <w:sz w:val="24"/>
                <w:szCs w:val="24"/>
              </w:rPr>
              <w:t>-м'язову атрофію: державний бюджет забезпечує лікування лише 4 дітей із захворюванням 1 типу, решта 12 пацієнтів отримують лікування виключно за рахунок коштів міста Києва.</w:t>
            </w:r>
          </w:p>
          <w:p w14:paraId="658463F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Також слід зазначити, що закупівлі лікарських засобів, не включених до Національного переліку основних лікарських засобів, але визначених клінічними протоколами, настановами та стандартами лікування, затвердженими Міністерством охорони здоров'я України, можуть здійснюватися місцевими державними адміністраціями (військовими адміністраціями) і їхніми структурними підрозділами відповідно до висновку уповноваженого органу з державної оцінки медичних технологій, який включає проведення первинної та фахової експертизи щодо закупівлі відповідного лікарського засобу за конкретним медичним показанням.</w:t>
            </w:r>
          </w:p>
          <w:p w14:paraId="22FCDE4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Отже, Програма відіграє ключову роль у забезпеченні безперервного доступу до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необхідних лікарських засобів та медичних виробів для пацієнтів із рідкісними (</w:t>
            </w:r>
            <w:proofErr w:type="spellStart"/>
            <w:r w:rsidRPr="00CF1710">
              <w:rPr>
                <w:rFonts w:ascii="Times New Roman" w:hAnsi="Times New Roman" w:cs="Times New Roman"/>
                <w:sz w:val="24"/>
                <w:szCs w:val="24"/>
              </w:rPr>
              <w:t>орфанними</w:t>
            </w:r>
            <w:proofErr w:type="spellEnd"/>
            <w:r w:rsidRPr="00CF1710">
              <w:rPr>
                <w:rFonts w:ascii="Times New Roman" w:hAnsi="Times New Roman" w:cs="Times New Roman"/>
                <w:sz w:val="24"/>
                <w:szCs w:val="24"/>
              </w:rPr>
              <w:t>) захворюваннями, що не покриваються державними програмами в повному обсязі.</w:t>
            </w:r>
          </w:p>
          <w:p w14:paraId="59E7AC1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Враховуючи викладене, забезпечення лікарськими засобами й медичними виробами є ключовим аспектом подальшого надання </w:t>
            </w:r>
            <w:r w:rsidRPr="00CF1710">
              <w:rPr>
                <w:rFonts w:ascii="Times New Roman" w:hAnsi="Times New Roman" w:cs="Times New Roman"/>
                <w:sz w:val="24"/>
                <w:szCs w:val="24"/>
              </w:rPr>
              <w:lastRenderedPageBreak/>
              <w:t>фінансової підтримки з бюджету міста Києва з метою гарантування доступності, своєчасності та безперервності медичної допомоги населенню.</w:t>
            </w:r>
          </w:p>
          <w:p w14:paraId="27C2FDC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На сьогодні в місті Києві функціонує КНП "Київський міський інформаційно-аналітичний центр медичної статистики" (далі - Центр), який здійснює реалізацію державної політики з питань медичної статистики, координацію діяльності закладів охорони здоров'я міста щодо збору, обробки й аналізу медичної статистичної інформації, упроваджує міжнародну систему обліку та статистики, виконує завдання, пов'язані з реалізацією заходів міських цільових програм "Підтримка та розвиток галузі охорони здоров'я столиці" на 2024 - 2027 роки, "Громадське здоров'я" на 2022 - 2025 роки.</w:t>
            </w:r>
          </w:p>
          <w:p w14:paraId="7E8F617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Питання доступності пацієнтів до медичних послуг наразі стоїть особливо гострим. Кияни, гості міста та внутрішньо переміщені особи, які хочуть отримати медичні послуги, змушені користуватись </w:t>
            </w:r>
            <w:proofErr w:type="spellStart"/>
            <w:r w:rsidRPr="00CF1710">
              <w:rPr>
                <w:rFonts w:ascii="Times New Roman" w:hAnsi="Times New Roman" w:cs="Times New Roman"/>
                <w:sz w:val="24"/>
                <w:szCs w:val="24"/>
              </w:rPr>
              <w:t>вебресурсами</w:t>
            </w:r>
            <w:proofErr w:type="spellEnd"/>
            <w:r w:rsidRPr="00CF1710">
              <w:rPr>
                <w:rFonts w:ascii="Times New Roman" w:hAnsi="Times New Roman" w:cs="Times New Roman"/>
                <w:sz w:val="24"/>
                <w:szCs w:val="24"/>
              </w:rPr>
              <w:t>, запитами й іншими засобами комунікації, що не завжди є ефективними та відображають реальну інформацію про можливість їх отримання. Водночас довідкова служба щодо медичних послуг, які надаються в медичних закладах міста Києва, відсутня.</w:t>
            </w:r>
          </w:p>
          <w:p w14:paraId="5D9ACA5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Чинне законодавство дає право здійснювати видатки лише в межах місцевих програм розвитку та підтримки комунальних закладів охорони здоров'я, які належать відповідним територіальним громадам (пункт 3 частини першої статті 89 Бюджетного кодексу України), зокрема, для забезпечення функціонування інформаційно-аналітичної системи, що здійснюється Центром.</w:t>
            </w:r>
          </w:p>
          <w:p w14:paraId="1651BA7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На сьогодні функціонування інформаційно-аналітичної системи галузі охорони здоров'я забезпечується Центром у межах виконання Програми.</w:t>
            </w:r>
          </w:p>
          <w:p w14:paraId="586BEE1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результаті проведеної діяльності розпочато впровадження автоматизованого процесу збору й аналітичної обробки (розрахунок показників, графічна візуалізація, побудова аналітичних панелей тощо) статистичної звітності про стан здоров'я населення та діяльність </w:t>
            </w:r>
            <w:r w:rsidRPr="00CF1710">
              <w:rPr>
                <w:rFonts w:ascii="Times New Roman" w:hAnsi="Times New Roman" w:cs="Times New Roman"/>
                <w:sz w:val="24"/>
                <w:szCs w:val="24"/>
              </w:rPr>
              <w:lastRenderedPageBreak/>
              <w:t>закладів охорони здоров'я відповідно до наказів Міністерства охорони здоров'я України. Це сприятиме підвищенню ефективності на всіх етапах збору й аналізу статистичної інформації завдяки консолідації даних та використанню сучасних аналітичних інструментів, дасть змогу в оперативному режимі здійснювати інформаційно-аналітичне забезпечення процесу управління в охороні здоров'я міста Києва для прийняття своєчасних організаційно-управлінських рішень, що є надзвичайно важливою складовою під час дії воєнного стану.</w:t>
            </w:r>
          </w:p>
          <w:p w14:paraId="3F99569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огляду на зазначене та з метою реалізації завдання 2.3 "Розвиток і забезпечення функціонування інформаційно-аналітичної системи галузі охорони здоров'я, пов'язаної зі збором, обробкою та аналізом медико-статистичної звітності"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виникає потреба щодо подальшого забезпечення функціонування інформаційно-аналітичної системи галузі охорони здоров'я міста Києва у 2024 - 2027 роках у частині виконання заходів, пов'язаних зі збором, обробкою, зберіганням та передачею медико-статистичної інформації, проведенням її аналізу для визначення основних тенденцій здоров'я населення тощо, що здійснюється Центром.</w:t>
            </w:r>
          </w:p>
          <w:p w14:paraId="789C038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Станом на сьогодні КНП "Центр екстреної медичної допомоги та медицини катастроф міста Києва" не має у власному користуванні спеціалізованих автомобілів екстреної (швидкої) медичної допомоги, які є необхідними для транспортування, мобілізації та перенесення пацієнтів, забезпечення дихальної підтримки, моніторингу </w:t>
            </w:r>
            <w:proofErr w:type="spellStart"/>
            <w:r w:rsidRPr="00CF1710">
              <w:rPr>
                <w:rFonts w:ascii="Times New Roman" w:hAnsi="Times New Roman" w:cs="Times New Roman"/>
                <w:sz w:val="24"/>
                <w:szCs w:val="24"/>
              </w:rPr>
              <w:t>життєво</w:t>
            </w:r>
            <w:proofErr w:type="spellEnd"/>
            <w:r w:rsidRPr="00CF1710">
              <w:rPr>
                <w:rFonts w:ascii="Times New Roman" w:hAnsi="Times New Roman" w:cs="Times New Roman"/>
                <w:sz w:val="24"/>
                <w:szCs w:val="24"/>
              </w:rPr>
              <w:t xml:space="preserve"> важливих функцій організму, проведення реанімаційних заходів.</w:t>
            </w:r>
          </w:p>
          <w:p w14:paraId="1440F52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Наявність сучасного спеціалізованого автотранспорту є важливою умовою для забезпечення своєчасного прибуття бригад екстреної (швидкої) медичної допомоги до мешканців міста, які потребують невідкладної медичної допомоги. Це </w:t>
            </w:r>
            <w:proofErr w:type="spellStart"/>
            <w:r w:rsidRPr="00CF1710">
              <w:rPr>
                <w:rFonts w:ascii="Times New Roman" w:hAnsi="Times New Roman" w:cs="Times New Roman"/>
                <w:sz w:val="24"/>
                <w:szCs w:val="24"/>
              </w:rPr>
              <w:t>надасть</w:t>
            </w:r>
            <w:proofErr w:type="spellEnd"/>
            <w:r w:rsidRPr="00CF1710">
              <w:rPr>
                <w:rFonts w:ascii="Times New Roman" w:hAnsi="Times New Roman" w:cs="Times New Roman"/>
                <w:sz w:val="24"/>
                <w:szCs w:val="24"/>
              </w:rPr>
              <w:t xml:space="preserve"> можливість дотримуватися встановлених нормативів прибуття бригад на місце події відповідно до постанови Кабінету Міністрів України від 16 </w:t>
            </w:r>
            <w:r w:rsidRPr="00CF1710">
              <w:rPr>
                <w:rFonts w:ascii="Times New Roman" w:hAnsi="Times New Roman" w:cs="Times New Roman"/>
                <w:sz w:val="24"/>
                <w:szCs w:val="24"/>
              </w:rPr>
              <w:lastRenderedPageBreak/>
              <w:t>грудня 2020 року N 1271 "Про норматив прибуття бригад екстреної (швидкої) медичної допомоги на місце події".</w:t>
            </w:r>
          </w:p>
          <w:p w14:paraId="1B09337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 метою виконання вимог своєчасного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бригад екстреної медичної допомоги на екстрені виклики та для реалізації оперативної цілі 2 "Підвищення якості надання мешканцям / мешканкам столиці доступної та безоплатної медичної допомоги в межах програми державних гарантій медичного обслуговування населення та муніципальних програм" Стратегії розвитку міста Києва до 2027 року, затвердженої рішенням Київської міської ради від 15 грудня 2011 року N 824/7060 (у редакції рішення Київської міської ради від 05 грудня 2024 року N 414/10222) постає питання забезпечення спеціальним і спеціалізованим автотранспортом КНП "Центр екстреної медичної допомоги та медицини катастроф міста Києва".</w:t>
            </w:r>
          </w:p>
          <w:p w14:paraId="4B08C183" w14:textId="77777777" w:rsidR="00CF1710" w:rsidRPr="00CF1710" w:rsidRDefault="00CF1710" w:rsidP="00CF1710">
            <w:pPr>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Реалізація відповідного заходу Програми забезпечила дотримання вимог своєчасного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бригад екстреної медичної допомоги на екстрені виклики. Своєчасність надання екстреної медичної допомоги становила у 2024 році: частка </w:t>
            </w:r>
            <w:proofErr w:type="spellStart"/>
            <w:r w:rsidRPr="00CF1710">
              <w:rPr>
                <w:rFonts w:ascii="Times New Roman" w:hAnsi="Times New Roman" w:cs="Times New Roman"/>
                <w:sz w:val="24"/>
                <w:szCs w:val="24"/>
              </w:rPr>
              <w:t>доїзду</w:t>
            </w:r>
            <w:proofErr w:type="spellEnd"/>
            <w:r w:rsidRPr="00CF1710">
              <w:rPr>
                <w:rFonts w:ascii="Times New Roman" w:hAnsi="Times New Roman" w:cs="Times New Roman"/>
                <w:sz w:val="24"/>
                <w:szCs w:val="24"/>
              </w:rPr>
              <w:t xml:space="preserve"> до 20 хв на екстрені випадки - 91,6 %, до 10 хв на критичні випадки - 98,5 %.</w:t>
            </w:r>
          </w:p>
          <w:p w14:paraId="29F4918A" w14:textId="77777777" w:rsidR="00CF1710" w:rsidRPr="00CF1710" w:rsidRDefault="00CF1710" w:rsidP="00CF1710">
            <w:pPr>
              <w:ind w:firstLine="567"/>
              <w:jc w:val="both"/>
              <w:rPr>
                <w:rFonts w:ascii="Times New Roman" w:hAnsi="Times New Roman" w:cs="Times New Roman"/>
                <w:b/>
                <w:bCs/>
                <w:sz w:val="24"/>
                <w:szCs w:val="24"/>
              </w:rPr>
            </w:pPr>
            <w:r w:rsidRPr="00CF1710">
              <w:rPr>
                <w:rFonts w:ascii="Times New Roman" w:hAnsi="Times New Roman" w:cs="Times New Roman"/>
                <w:b/>
                <w:bCs/>
                <w:sz w:val="24"/>
                <w:szCs w:val="24"/>
              </w:rPr>
              <w:t>Виконання посадових обов’язків працівниками бригад екстреної медичної допомоги в умовах сигналів «Повітряна тривога» та безпосередньо в зонах ліквідації наслідків ракетно-</w:t>
            </w:r>
            <w:proofErr w:type="spellStart"/>
            <w:r w:rsidRPr="00CF1710">
              <w:rPr>
                <w:rFonts w:ascii="Times New Roman" w:hAnsi="Times New Roman" w:cs="Times New Roman"/>
                <w:b/>
                <w:bCs/>
                <w:sz w:val="24"/>
                <w:szCs w:val="24"/>
              </w:rPr>
              <w:t>дронових</w:t>
            </w:r>
            <w:proofErr w:type="spellEnd"/>
            <w:r w:rsidRPr="00CF1710">
              <w:rPr>
                <w:rFonts w:ascii="Times New Roman" w:hAnsi="Times New Roman" w:cs="Times New Roman"/>
                <w:b/>
                <w:bCs/>
                <w:sz w:val="24"/>
                <w:szCs w:val="24"/>
              </w:rPr>
              <w:t xml:space="preserve"> ударів пов’язане з постійним високим ризиком для їхнього життя та здоров’я.</w:t>
            </w:r>
          </w:p>
          <w:p w14:paraId="26801188" w14:textId="77777777" w:rsidR="00CF1710" w:rsidRPr="00CF1710" w:rsidRDefault="00CF1710" w:rsidP="00CF1710">
            <w:pPr>
              <w:ind w:firstLine="567"/>
              <w:jc w:val="both"/>
              <w:rPr>
                <w:rFonts w:ascii="Times New Roman" w:hAnsi="Times New Roman" w:cs="Times New Roman"/>
                <w:b/>
                <w:bCs/>
                <w:sz w:val="24"/>
                <w:szCs w:val="24"/>
              </w:rPr>
            </w:pPr>
            <w:r w:rsidRPr="00CF1710">
              <w:rPr>
                <w:rFonts w:ascii="Times New Roman" w:hAnsi="Times New Roman" w:cs="Times New Roman"/>
                <w:b/>
                <w:bCs/>
                <w:sz w:val="24"/>
                <w:szCs w:val="24"/>
              </w:rPr>
              <w:t>Існуючий рівень небезпеки створює ризики відмов або затримок виїздів медичного персоналу під час обстрілів =. Це, у свою чергу, ставить під загрозу дотримання встановлених державних нормативів прибуття бригад екстреної медичної допомоги та унеможливлює своєчасне надання пацієнтам у невідкладних станах і потерпілим на місцях уражень.</w:t>
            </w:r>
          </w:p>
          <w:p w14:paraId="1A2D634D" w14:textId="77777777" w:rsidR="00CF1710" w:rsidRPr="00CF1710" w:rsidRDefault="00CF1710" w:rsidP="00CF1710">
            <w:pPr>
              <w:ind w:firstLine="567"/>
              <w:jc w:val="both"/>
              <w:rPr>
                <w:rFonts w:ascii="Times New Roman" w:hAnsi="Times New Roman" w:cs="Times New Roman"/>
                <w:b/>
                <w:bCs/>
                <w:sz w:val="24"/>
                <w:szCs w:val="24"/>
              </w:rPr>
            </w:pPr>
            <w:r w:rsidRPr="00CF1710">
              <w:rPr>
                <w:rFonts w:ascii="Times New Roman" w:hAnsi="Times New Roman" w:cs="Times New Roman"/>
                <w:b/>
                <w:bCs/>
                <w:sz w:val="24"/>
                <w:szCs w:val="24"/>
              </w:rPr>
              <w:t xml:space="preserve">Крім того, забезпечення медичних працівників сучасним спеціалізованим форменим одягом є необхідною умовою створення належних умов праці, підвищення рівня безпеки (через </w:t>
            </w:r>
            <w:r w:rsidRPr="00CF1710">
              <w:rPr>
                <w:rFonts w:ascii="Times New Roman" w:hAnsi="Times New Roman" w:cs="Times New Roman"/>
                <w:b/>
                <w:bCs/>
                <w:sz w:val="24"/>
                <w:szCs w:val="24"/>
              </w:rPr>
              <w:lastRenderedPageBreak/>
              <w:t xml:space="preserve">використання </w:t>
            </w:r>
            <w:proofErr w:type="spellStart"/>
            <w:r w:rsidRPr="00CF1710">
              <w:rPr>
                <w:rFonts w:ascii="Times New Roman" w:hAnsi="Times New Roman" w:cs="Times New Roman"/>
                <w:b/>
                <w:bCs/>
                <w:sz w:val="24"/>
                <w:szCs w:val="24"/>
              </w:rPr>
              <w:t>світловідбиваючих</w:t>
            </w:r>
            <w:proofErr w:type="spellEnd"/>
            <w:r w:rsidRPr="00CF1710">
              <w:rPr>
                <w:rFonts w:ascii="Times New Roman" w:hAnsi="Times New Roman" w:cs="Times New Roman"/>
                <w:b/>
                <w:bCs/>
                <w:sz w:val="24"/>
                <w:szCs w:val="24"/>
              </w:rPr>
              <w:t xml:space="preserve"> елементів та захисних матеріалів), формування довіри пацієнтів та забезпечення належного іміджу комунальної системи охорони здоров’я громади, у тому числі під час проведення міжнародних та загальнодержавних заходів.</w:t>
            </w:r>
          </w:p>
          <w:p w14:paraId="5A475318" w14:textId="77777777" w:rsidR="00CF1710" w:rsidRPr="00CF1710" w:rsidRDefault="00CF1710" w:rsidP="00CF1710">
            <w:pPr>
              <w:ind w:firstLine="567"/>
              <w:jc w:val="both"/>
              <w:rPr>
                <w:rFonts w:ascii="Times New Roman" w:hAnsi="Times New Roman" w:cs="Times New Roman"/>
                <w:b/>
                <w:bCs/>
                <w:sz w:val="24"/>
                <w:szCs w:val="24"/>
              </w:rPr>
            </w:pPr>
            <w:r w:rsidRPr="00CF1710">
              <w:rPr>
                <w:rFonts w:ascii="Times New Roman" w:hAnsi="Times New Roman" w:cs="Times New Roman"/>
                <w:b/>
                <w:bCs/>
                <w:sz w:val="24"/>
                <w:szCs w:val="24"/>
              </w:rPr>
              <w:t>Окремим безпековим викликом є функціонування позаштатних військово-лікарських комісій на базі цивільних закладів охорони здоров’я. Зважаючи на високий рівень психоемоційної напруги під час проходження ВЛК та відсутність у цивільних лікарнях спеціалізованих технічних засобів первинного огляду відвідувачів, виникають суттєві ризики виникнення конфліктів та пронесення небезпечних предметів (зброї, боєприпасів). На відміну від спеціалізованих військових госпіталів, цивільні заклади охорони здоров’я потребують посилення пропускного режиму шляхом залучення охорони та оснащення технічними засобами безпеки (</w:t>
            </w:r>
            <w:proofErr w:type="spellStart"/>
            <w:r w:rsidRPr="00CF1710">
              <w:rPr>
                <w:rFonts w:ascii="Times New Roman" w:hAnsi="Times New Roman" w:cs="Times New Roman"/>
                <w:b/>
                <w:bCs/>
                <w:sz w:val="24"/>
                <w:szCs w:val="24"/>
              </w:rPr>
              <w:t>металодетекторами</w:t>
            </w:r>
            <w:proofErr w:type="spellEnd"/>
            <w:r w:rsidRPr="00CF1710">
              <w:rPr>
                <w:rFonts w:ascii="Times New Roman" w:hAnsi="Times New Roman" w:cs="Times New Roman"/>
                <w:b/>
                <w:bCs/>
                <w:sz w:val="24"/>
                <w:szCs w:val="24"/>
              </w:rPr>
              <w:t xml:space="preserve"> арочного типу) для захисту медичного персоналу й відвідувачів.</w:t>
            </w:r>
          </w:p>
          <w:p w14:paraId="1E403CEE" w14:textId="77777777" w:rsidR="00CF1710" w:rsidRPr="00CF1710" w:rsidRDefault="00CF1710" w:rsidP="003C0D53">
            <w:pPr>
              <w:spacing w:before="240"/>
              <w:ind w:firstLine="240"/>
              <w:jc w:val="both"/>
              <w:rPr>
                <w:rFonts w:ascii="Times New Roman" w:hAnsi="Times New Roman" w:cs="Times New Roman"/>
                <w:sz w:val="24"/>
                <w:szCs w:val="24"/>
              </w:rPr>
            </w:pPr>
            <w:r w:rsidRPr="00CF1710">
              <w:rPr>
                <w:rFonts w:ascii="Times New Roman" w:hAnsi="Times New Roman" w:cs="Times New Roman"/>
                <w:sz w:val="24"/>
                <w:szCs w:val="24"/>
              </w:rPr>
              <w:t>Окрім того, відбувається суттєве збільшення навантаження на лікарні, які забезпечують роботу 24/7, зокрема операційних, інфекційних відділень тощо. Починаючи з 01 січня 2025 року, у закладах охорони здоров'я запроваджено функціонування команд з оцінювання повсякденного функціонування особи.</w:t>
            </w:r>
          </w:p>
          <w:p w14:paraId="216E3B3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метою забезпечення безперебійної і якісної роботи закладів охорони здоров'я міста Києва, а також для належного виконання умов договорів у частині кадрового забезпечення, укладених із Національною службою здоров'я України, доцільним є збільшення виплат категоріям лікарів, які підлягають підтримці в межах реалізації заходу "Щомісячна безповоротна фінансова допомога" Програми.</w:t>
            </w:r>
          </w:p>
          <w:p w14:paraId="6AD75E6E" w14:textId="77777777" w:rsidR="003C0D53"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зв'язку з внесенням змін до переліку спеціалізацій підготовки здобувачів вищої освіти ступеня магістра за спеціальністю "Технології медичної діагностики та лікування", якими передбачено підготовку</w:t>
            </w:r>
          </w:p>
          <w:p w14:paraId="1CE3AFFD" w14:textId="087AD202"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 xml:space="preserve"> </w:t>
            </w:r>
            <w:proofErr w:type="spellStart"/>
            <w:r w:rsidRPr="00CF1710">
              <w:rPr>
                <w:rFonts w:ascii="Times New Roman" w:hAnsi="Times New Roman" w:cs="Times New Roman"/>
                <w:sz w:val="24"/>
                <w:szCs w:val="24"/>
              </w:rPr>
              <w:t>ортезистів</w:t>
            </w:r>
            <w:proofErr w:type="spellEnd"/>
            <w:r w:rsidRPr="00CF1710">
              <w:rPr>
                <w:rFonts w:ascii="Times New Roman" w:hAnsi="Times New Roman" w:cs="Times New Roman"/>
                <w:sz w:val="24"/>
                <w:szCs w:val="24"/>
              </w:rPr>
              <w:t>-протезистів, виникла об'єктивна необхідність включення представників цієї спеціальності до переліку категорій медичних працівників, які мають право на отримання щомісячної безповоротної фінансової допомоги в межах реалізації заходів Програми.</w:t>
            </w:r>
          </w:p>
          <w:p w14:paraId="65E3370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Зважаючи на суттєве зростання кількості ампутацій, зокрема внаслідок бойових дій та збройної агресії Російської Федерації, особливої актуальності набуває питання забезпечення пацієнтів протезно-</w:t>
            </w:r>
            <w:proofErr w:type="spellStart"/>
            <w:r w:rsidRPr="00CF1710">
              <w:rPr>
                <w:rFonts w:ascii="Times New Roman" w:hAnsi="Times New Roman" w:cs="Times New Roman"/>
                <w:sz w:val="24"/>
                <w:szCs w:val="24"/>
              </w:rPr>
              <w:t>ортезними</w:t>
            </w:r>
            <w:proofErr w:type="spellEnd"/>
            <w:r w:rsidRPr="00CF1710">
              <w:rPr>
                <w:rFonts w:ascii="Times New Roman" w:hAnsi="Times New Roman" w:cs="Times New Roman"/>
                <w:sz w:val="24"/>
                <w:szCs w:val="24"/>
              </w:rPr>
              <w:t xml:space="preserve"> засобами реабілітації. Так, у 2024 році в комунальних закладах охорони здоров'я міста Києва медичну допомогу отримали близько 700 пацієнтів з ампутаціями, більшість із яких - військовослужбовці, та у 2025 році заплановано відкриття двох лабораторій протезування на базі комунальних медичних установ столиці.</w:t>
            </w:r>
          </w:p>
          <w:p w14:paraId="58C3EC2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зв'язку з цим включення </w:t>
            </w:r>
            <w:proofErr w:type="spellStart"/>
            <w:r w:rsidRPr="00CF1710">
              <w:rPr>
                <w:rFonts w:ascii="Times New Roman" w:hAnsi="Times New Roman" w:cs="Times New Roman"/>
                <w:sz w:val="24"/>
                <w:szCs w:val="24"/>
              </w:rPr>
              <w:t>ортезистів</w:t>
            </w:r>
            <w:proofErr w:type="spellEnd"/>
            <w:r w:rsidRPr="00CF1710">
              <w:rPr>
                <w:rFonts w:ascii="Times New Roman" w:hAnsi="Times New Roman" w:cs="Times New Roman"/>
                <w:sz w:val="24"/>
                <w:szCs w:val="24"/>
              </w:rPr>
              <w:t xml:space="preserve">-протезистів до переліку категорій медичних працівників, що мають право на отримання щомісячної безповоротної фінансової допомоги, є не лише обґрунтованим, а й стратегічно необхідним кроком для забезпечення безперервності реабілітаційного процесу, підвищення якості медичної допомоги, зменшення рівня </w:t>
            </w:r>
            <w:proofErr w:type="spellStart"/>
            <w:r w:rsidRPr="00CF1710">
              <w:rPr>
                <w:rFonts w:ascii="Times New Roman" w:hAnsi="Times New Roman" w:cs="Times New Roman"/>
                <w:sz w:val="24"/>
                <w:szCs w:val="24"/>
              </w:rPr>
              <w:t>інвалідизації</w:t>
            </w:r>
            <w:proofErr w:type="spellEnd"/>
            <w:r w:rsidRPr="00CF1710">
              <w:rPr>
                <w:rFonts w:ascii="Times New Roman" w:hAnsi="Times New Roman" w:cs="Times New Roman"/>
                <w:sz w:val="24"/>
                <w:szCs w:val="24"/>
              </w:rPr>
              <w:t xml:space="preserve"> населення та збереження кадрового потенціалу в цій критично важливій сфері.</w:t>
            </w:r>
          </w:p>
          <w:p w14:paraId="6F4671D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Молодший медичний персонал, який працює в центрах первинної медико-санітарної допомоги, консультативно-діагностичних центрах та спеціалізованих закладах, має середньомісячну заробітну плату, розмір якої коливається від 10,3 до 10,7 тис. грн. У зв'язку з викладеним молодший медичний персонал зазначених закладів охорони здоров'я потребує додаткової фінансової підтримки.</w:t>
            </w:r>
          </w:p>
          <w:p w14:paraId="7C8B6794"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Враховуючи зазначене, у межах реалізації Програми потребують вирішення такі питання, зокрема: забезпечення належних умов та оновлення матеріально-технічної бази в закладах охорони здоров'я відповідно до сучасних вимог і стандартів; упровадження в медичну практику сучасних підходів до діагностики та лікування пацієнтів шляхом використання новітніх технологій, підвищення рівня раннього виявлення захворювань; забезпечення лікарськими засобами та </w:t>
            </w:r>
            <w:r w:rsidRPr="00CF1710">
              <w:rPr>
                <w:rFonts w:ascii="Times New Roman" w:hAnsi="Times New Roman" w:cs="Times New Roman"/>
                <w:sz w:val="24"/>
                <w:szCs w:val="24"/>
              </w:rPr>
              <w:lastRenderedPageBreak/>
              <w:t>медичними виробами, які не покриваються або частково покриваються програмою медичних гарантій, державними програмами та заходами програмного характеру; надання своєчасної й об'єктивної статистичної та аналітичної інформації про діяльність системи охорони здоров'я міста Києва з урахуванням актуальних викликів шляхом функціонування інформаційно-аналітичної системи, що включає збір і обробку медико-статистичної звітності, підготовку аналітичних довідників, методичних рекомендацій та інших інформаційних матеріалів для своєчасного прийняття організаційно-управлінських рішень; забезпечення своєчасного прибуття бригад екстреної медичної допомоги до мешканців міста Києва, які потребують невідкладної медичної допомоги; надання щомісячної безповоротної фінансової допомоги працівникам усіх закладів охорони здоров'я, визначеним у межах Програми.</w:t>
            </w:r>
          </w:p>
          <w:p w14:paraId="0B118471"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III. ВИЗНАЧЕННЯ МЕТИ ПРОГРАМИ</w:t>
            </w:r>
          </w:p>
          <w:p w14:paraId="3A129747"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Метою Програми є забезпечення мешканців міста Києва якісною, доступною та безоплатною медичною допомогою шляхом підтримки й розвитку комунальних закладів охорони здоров'я, а також підприємств, установ і організацій комунальної власності територіальної громади міста Києва, діяльність яких спрямована на розвиток галузі охорони здоров'я та забезпечення функціонування єдиного медичного простору, а також надання медичної допомоги військовослужбовцям Збройних Сил України, які отримали травми (поранення), ураження внаслідок збройної агресії Російської Федерації проти України, що відображено в медичній первинній обліковій документації,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w:t>
            </w:r>
          </w:p>
          <w:p w14:paraId="7642496B"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lastRenderedPageBreak/>
              <w:t>IV. ОБҐРУНТУВАННЯ ШЛЯХІВ І ЗАСОБІВ РОЗВ'ЯЗАННЯ ПРОБЛЕМ, ОБСЯГІВ ТА ДЖЕРЕЛ ФІНАНСУВАННЯ, СТРОКІВ ВИКОНАННЯ ПРОГРАМИ</w:t>
            </w:r>
          </w:p>
          <w:p w14:paraId="68078AC6"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Органи місцевого самоврядування мають право спрямовувати кошти місцевого бюджету на управління та розвиток комунальних закладів охорони здоров'я, зокрема на оновлення матеріально-технічної бази, проведення капітальних ремонтів, реконструкції й інших заходів у межах місцевих програм підтримки та розвитку галузі охорони здоров'я.</w:t>
            </w:r>
          </w:p>
          <w:p w14:paraId="0463C65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Крім того, місцева влада має можливість фінансувати надання додаткових медичних послуг мешканцям столиці, які не охоплені програмою державних гарантій медичного обслуговування населення, що сприяє розширенню доступу до безоплатної медичної допомоги та подальшому розвитку системи медичного обслуговування на місцевому рівні.</w:t>
            </w:r>
          </w:p>
          <w:p w14:paraId="02BCCD7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Виконання завдань і заходів Програми сприятиме покращенню умов перебування пацієнтів у закладах охорони здоров'я, підвищенню ефективності діагностики та лікування шляхом упровадження сучасних медичних технологій у діагностиці й лікуванні.</w:t>
            </w:r>
          </w:p>
          <w:p w14:paraId="20237AF1"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Програма передбачає розвиток потенціалу медичних закладів шляхом будівництва, реконструкції, реставрації та проведення капітальних ремонтів закладів охорони здоров'я, що перебувають у комунальній власності територіальної громади міста Києва. Крім того, Програма передбачає оновлення матеріально-технічної бази та закупівлю сучасного медичного обладнання для забезпечення ефективного функціонування медичних установ і надання якісних медичних послуг.</w:t>
            </w:r>
          </w:p>
          <w:p w14:paraId="0C303D2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Проблеми, пов'язані із забезпеченням лікарськими засобами й медичними виробами, які не покриваються або лише частково покриваються в межах програми медичних гарантій та окремих державних програм і заходів програмного характеру, вирішуватимуться шляхом закупівлі необхідних лікарських засобів і </w:t>
            </w:r>
            <w:r w:rsidRPr="00CF1710">
              <w:rPr>
                <w:rFonts w:ascii="Times New Roman" w:hAnsi="Times New Roman" w:cs="Times New Roman"/>
                <w:sz w:val="24"/>
                <w:szCs w:val="24"/>
              </w:rPr>
              <w:lastRenderedPageBreak/>
              <w:t xml:space="preserve">медичних виробів для пацієнтів із рідкісними та хронічними станами, які потребують </w:t>
            </w:r>
            <w:proofErr w:type="spellStart"/>
            <w:r w:rsidRPr="00CF1710">
              <w:rPr>
                <w:rFonts w:ascii="Times New Roman" w:hAnsi="Times New Roman" w:cs="Times New Roman"/>
                <w:sz w:val="24"/>
                <w:szCs w:val="24"/>
              </w:rPr>
              <w:t>пожиттєвого</w:t>
            </w:r>
            <w:proofErr w:type="spellEnd"/>
            <w:r w:rsidRPr="00CF1710">
              <w:rPr>
                <w:rFonts w:ascii="Times New Roman" w:hAnsi="Times New Roman" w:cs="Times New Roman"/>
                <w:sz w:val="24"/>
                <w:szCs w:val="24"/>
              </w:rPr>
              <w:t xml:space="preserve"> їх приймання.</w:t>
            </w:r>
          </w:p>
          <w:p w14:paraId="31A7DF1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Окрему увагу в межах Програми буде приділено впровадженню сучасних клітинних і тканинних технологій, зокрема лікуванню із застосуванням культивованих </w:t>
            </w:r>
            <w:proofErr w:type="spellStart"/>
            <w:r w:rsidRPr="00CF1710">
              <w:rPr>
                <w:rFonts w:ascii="Times New Roman" w:hAnsi="Times New Roman" w:cs="Times New Roman"/>
                <w:sz w:val="24"/>
                <w:szCs w:val="24"/>
              </w:rPr>
              <w:t>мезенхімальних</w:t>
            </w:r>
            <w:proofErr w:type="spellEnd"/>
            <w:r w:rsidRPr="00CF1710">
              <w:rPr>
                <w:rFonts w:ascii="Times New Roman" w:hAnsi="Times New Roman" w:cs="Times New Roman"/>
                <w:sz w:val="24"/>
                <w:szCs w:val="24"/>
              </w:rPr>
              <w:t xml:space="preserve"> стовбурових клітин, що відкриває нові можливості в терапії складних і рідкісних патологій, а також у лікуванні </w:t>
            </w:r>
            <w:proofErr w:type="spellStart"/>
            <w:r w:rsidRPr="00CF1710">
              <w:rPr>
                <w:rFonts w:ascii="Times New Roman" w:hAnsi="Times New Roman" w:cs="Times New Roman"/>
                <w:sz w:val="24"/>
                <w:szCs w:val="24"/>
              </w:rPr>
              <w:t>опіків</w:t>
            </w:r>
            <w:proofErr w:type="spellEnd"/>
            <w:r w:rsidRPr="00CF1710">
              <w:rPr>
                <w:rFonts w:ascii="Times New Roman" w:hAnsi="Times New Roman" w:cs="Times New Roman"/>
                <w:sz w:val="24"/>
                <w:szCs w:val="24"/>
              </w:rPr>
              <w:t xml:space="preserve">. У цьому контексті планується розвиток лабораторії регенеративних біотехнологій, яка охоплюватиме напрями клітинної терапії, </w:t>
            </w:r>
            <w:proofErr w:type="spellStart"/>
            <w:r w:rsidRPr="00CF1710">
              <w:rPr>
                <w:rFonts w:ascii="Times New Roman" w:hAnsi="Times New Roman" w:cs="Times New Roman"/>
                <w:sz w:val="24"/>
                <w:szCs w:val="24"/>
              </w:rPr>
              <w:t>екзотерапії</w:t>
            </w:r>
            <w:proofErr w:type="spellEnd"/>
            <w:r w:rsidRPr="00CF1710">
              <w:rPr>
                <w:rFonts w:ascii="Times New Roman" w:hAnsi="Times New Roman" w:cs="Times New Roman"/>
                <w:sz w:val="24"/>
                <w:szCs w:val="24"/>
              </w:rPr>
              <w:t xml:space="preserve">, тканинної інженерії з виготовленням </w:t>
            </w:r>
            <w:proofErr w:type="spellStart"/>
            <w:r w:rsidRPr="00CF1710">
              <w:rPr>
                <w:rFonts w:ascii="Times New Roman" w:hAnsi="Times New Roman" w:cs="Times New Roman"/>
                <w:sz w:val="24"/>
                <w:szCs w:val="24"/>
              </w:rPr>
              <w:t>дермального</w:t>
            </w:r>
            <w:proofErr w:type="spellEnd"/>
            <w:r w:rsidRPr="00CF1710">
              <w:rPr>
                <w:rFonts w:ascii="Times New Roman" w:hAnsi="Times New Roman" w:cs="Times New Roman"/>
                <w:sz w:val="24"/>
                <w:szCs w:val="24"/>
              </w:rPr>
              <w:t xml:space="preserve"> еквівалента, еквівалента шкіри, еквівалента кістки для клінічного застосування в комбустіології, регенеративній ортопедії, естетичній медицині та пластичній хірургії, ендокринології, нефрології, неврології й інших сферах.</w:t>
            </w:r>
          </w:p>
          <w:p w14:paraId="10260C8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Таким чином, Програма спрямована на покращення матеріально-технічної бази медичних закладів та розширення доступу до високоякісного медичного безоплатного забезпечення для пацієнтів / пацієнток із тяжкими й рідкісними захворюваннями, що не покриваються в повному обсязі державними програмами.</w:t>
            </w:r>
          </w:p>
          <w:p w14:paraId="1EBAB5F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Узагальнення статистичної звітності на рівні міста та забезпечення функціонування інформаційно-аналітичної системи галузі охорони здоров'я, яка охоплює збір, обробку медико-статистичної інформації, підготовку аналітичних довідників, методичних рекомендацій тощо, буде здійснюватися в межах заходу Програми "Забезпечення функціонування інформаційно-аналітичної системи галузі охорони здоров'я щодо збору, обробки, зберігання та передачі медико-статистичної інформації", що реалізується Центром.</w:t>
            </w:r>
          </w:p>
          <w:p w14:paraId="7BE2827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Покращення показників своєчасного прибуття бригад екстреної медичної допомоги до мешканців міста Києва, які потребують невідкладної медичної допомоги, забезпечуватиметься шляхом надання централізованих послуг спеціалізованого автотранспорту для КНП "Центр екстреної медичної допомоги та медицини катастроф </w:t>
            </w:r>
            <w:r w:rsidRPr="00CF1710">
              <w:rPr>
                <w:rFonts w:ascii="Times New Roman" w:hAnsi="Times New Roman" w:cs="Times New Roman"/>
                <w:sz w:val="24"/>
                <w:szCs w:val="24"/>
              </w:rPr>
              <w:lastRenderedPageBreak/>
              <w:t>міста Києва", що дасть змогу оптимізувати процеси транспортування та реагування відповідно до нормативних вимог.</w:t>
            </w:r>
          </w:p>
          <w:p w14:paraId="3BB3031D" w14:textId="77777777" w:rsidR="00CF1710" w:rsidRPr="00CF1710" w:rsidRDefault="00CF1710" w:rsidP="00CF1710">
            <w:pPr>
              <w:ind w:firstLine="240"/>
              <w:jc w:val="both"/>
              <w:rPr>
                <w:rFonts w:ascii="Times New Roman" w:hAnsi="Times New Roman" w:cs="Times New Roman"/>
                <w:b/>
                <w:bCs/>
                <w:sz w:val="24"/>
                <w:szCs w:val="24"/>
              </w:rPr>
            </w:pPr>
            <w:r w:rsidRPr="00CF1710">
              <w:rPr>
                <w:rFonts w:ascii="Times New Roman" w:hAnsi="Times New Roman" w:cs="Times New Roman"/>
                <w:b/>
                <w:bCs/>
                <w:sz w:val="24"/>
                <w:szCs w:val="24"/>
              </w:rPr>
              <w:t>З метою дотримання державних нормативів прибуття бригад та забезпечення безперебійного надання екстреної медичної допомоги в умовах підвищеного ризику передбачається запровадження додаткової матеріальної допомоги працівникам Центру екстреної медичної допомоги за виконання посадових обов’язків під час сигналів «Повітряна тривога» та на місцях ліквідації наслідків уражень.</w:t>
            </w:r>
          </w:p>
          <w:p w14:paraId="5D8B5643" w14:textId="77777777" w:rsidR="00CF1710" w:rsidRPr="00CF1710" w:rsidRDefault="00CF1710" w:rsidP="00CF1710">
            <w:pPr>
              <w:ind w:firstLine="315"/>
              <w:jc w:val="both"/>
              <w:rPr>
                <w:rFonts w:ascii="Times New Roman" w:hAnsi="Times New Roman" w:cs="Times New Roman"/>
                <w:b/>
                <w:bCs/>
                <w:sz w:val="24"/>
                <w:szCs w:val="24"/>
              </w:rPr>
            </w:pPr>
            <w:r w:rsidRPr="00CF1710">
              <w:rPr>
                <w:rFonts w:ascii="Times New Roman" w:hAnsi="Times New Roman" w:cs="Times New Roman"/>
                <w:b/>
                <w:bCs/>
                <w:sz w:val="24"/>
                <w:szCs w:val="24"/>
              </w:rPr>
              <w:t xml:space="preserve">Питання захищеності та належних умов праці медичного персоналу вирішується шляхом централізованого закупівлі спеціалізованого </w:t>
            </w:r>
            <w:proofErr w:type="spellStart"/>
            <w:r w:rsidRPr="00CF1710">
              <w:rPr>
                <w:rFonts w:ascii="Times New Roman" w:hAnsi="Times New Roman" w:cs="Times New Roman"/>
                <w:b/>
                <w:bCs/>
                <w:sz w:val="24"/>
                <w:szCs w:val="24"/>
              </w:rPr>
              <w:t>форменного</w:t>
            </w:r>
            <w:proofErr w:type="spellEnd"/>
            <w:r w:rsidRPr="00CF1710">
              <w:rPr>
                <w:rFonts w:ascii="Times New Roman" w:hAnsi="Times New Roman" w:cs="Times New Roman"/>
                <w:b/>
                <w:bCs/>
                <w:sz w:val="24"/>
                <w:szCs w:val="24"/>
              </w:rPr>
              <w:t xml:space="preserve"> одягу підвищеної видимості та засобів індивідуального захисту для бригад реагування. </w:t>
            </w:r>
          </w:p>
          <w:p w14:paraId="4579234E" w14:textId="77777777" w:rsidR="00CF1710" w:rsidRPr="00CF1710" w:rsidRDefault="00CF1710" w:rsidP="00CF1710">
            <w:pPr>
              <w:ind w:firstLine="315"/>
              <w:jc w:val="both"/>
              <w:rPr>
                <w:rFonts w:ascii="Times New Roman" w:hAnsi="Times New Roman" w:cs="Times New Roman"/>
                <w:b/>
                <w:bCs/>
                <w:sz w:val="24"/>
                <w:szCs w:val="24"/>
              </w:rPr>
            </w:pPr>
            <w:r w:rsidRPr="00CF1710">
              <w:rPr>
                <w:rFonts w:ascii="Times New Roman" w:hAnsi="Times New Roman" w:cs="Times New Roman"/>
                <w:b/>
                <w:bCs/>
                <w:sz w:val="24"/>
                <w:szCs w:val="24"/>
              </w:rPr>
              <w:t xml:space="preserve">З метою мінімізації безпекових загроз, запобігання пронесенню небезпечних предметів та захисту працівників і відвідувачів у цивільних закладах охорони здоров’я, де функціонують військово-лікарські комісії, передбачається оснащення таких закладів стаціонарними </w:t>
            </w:r>
            <w:proofErr w:type="spellStart"/>
            <w:r w:rsidRPr="00CF1710">
              <w:rPr>
                <w:rFonts w:ascii="Times New Roman" w:hAnsi="Times New Roman" w:cs="Times New Roman"/>
                <w:b/>
                <w:bCs/>
                <w:sz w:val="24"/>
                <w:szCs w:val="24"/>
              </w:rPr>
              <w:t>металодетекторами</w:t>
            </w:r>
            <w:proofErr w:type="spellEnd"/>
            <w:r w:rsidRPr="00CF1710">
              <w:rPr>
                <w:rFonts w:ascii="Times New Roman" w:hAnsi="Times New Roman" w:cs="Times New Roman"/>
                <w:b/>
                <w:bCs/>
                <w:sz w:val="24"/>
                <w:szCs w:val="24"/>
              </w:rPr>
              <w:t xml:space="preserve"> арочного типу.</w:t>
            </w:r>
          </w:p>
          <w:p w14:paraId="2C9E8D5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Питання доступності пацієнтів до медичних послуг пропонується вирішити шляхом створення на базі КНП "Київський міський інформаційно-аналітичний центр медичної статистики" медичної довідкової телефонної лінії.</w:t>
            </w:r>
          </w:p>
          <w:p w14:paraId="59A1898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Реалізація Програми також сприятиме:</w:t>
            </w:r>
          </w:p>
          <w:p w14:paraId="252656C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посиленню фінансової спроможності комунальних закладів охорони здоров'я міста Києва, а отже - розширенню доступу громадян до безоплатної медичної допомоги;</w:t>
            </w:r>
          </w:p>
          <w:p w14:paraId="4ADC4D3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формуванню конкурентного середовища серед постачальників медичних послуг незалежно від форми власності, що сприятиме підвищенню якості медичної допомоги;</w:t>
            </w:r>
          </w:p>
          <w:p w14:paraId="4D75CB4D" w14:textId="77777777" w:rsidR="003C0D53" w:rsidRDefault="003C0D53" w:rsidP="00CF1710">
            <w:pPr>
              <w:spacing w:after="75"/>
              <w:ind w:firstLine="240"/>
              <w:jc w:val="both"/>
              <w:rPr>
                <w:rFonts w:ascii="Times New Roman" w:hAnsi="Times New Roman" w:cs="Times New Roman"/>
                <w:sz w:val="24"/>
                <w:szCs w:val="24"/>
              </w:rPr>
            </w:pPr>
          </w:p>
          <w:p w14:paraId="008A010F" w14:textId="2A2E4E12"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підвищенню якості надання медичних послуг і забезпеченню їх фізичної та фінансової доступності для мешканців / мешканок міста;</w:t>
            </w:r>
          </w:p>
          <w:p w14:paraId="49574F0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забезпеченню безперервності та доступності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357F8A5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Основна мета Програми - підвищення якості та доступності медичного обслуговування мешканців і мешканок столиці, а також забезпечення надання медичної допомоги військовослужбовцям Збройних Сил України. Розроблені завдання та заходи Програми орієнтовані насамперед на кінцевого споживача - жителів міста Києва, у тому числі медичних працівників, що відповідає пріоритетам соціально орієнтованої політики в сфері охорони здоров'я.</w:t>
            </w:r>
          </w:p>
          <w:p w14:paraId="78EA5BB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 підтримки міжнародних партнерів і провідних фахівців у сфері охорони здоров'я проводяться навчальні заходи для медичних працівників та постачається сучасне медичне обладнання.</w:t>
            </w:r>
          </w:p>
          <w:p w14:paraId="51CDFD0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Так, з метою забезпечення можливостей для безперервного професійного розвитку медичних працівників з урахуванням міжнародного досвіду, організовано серію тренінгів за адаптованими навчальними програмами. Практичні заняття, семінари та навчальні модулі, спрямовані на вдосконалення навичок у сфері ментального здоров'я, клінічних навичок сучасної діагностики й лікування, проводяться на постійній основі.</w:t>
            </w:r>
          </w:p>
          <w:p w14:paraId="66701B1A"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Зокрема, у межах співпраці з Ізраїльською коаліцією травми (ITC) організовано серію онлайн- і </w:t>
            </w:r>
            <w:proofErr w:type="spellStart"/>
            <w:r w:rsidRPr="00CF1710">
              <w:rPr>
                <w:rFonts w:ascii="Times New Roman" w:hAnsi="Times New Roman" w:cs="Times New Roman"/>
                <w:sz w:val="24"/>
                <w:szCs w:val="24"/>
              </w:rPr>
              <w:t>офлайн</w:t>
            </w:r>
            <w:proofErr w:type="spellEnd"/>
            <w:r w:rsidRPr="00CF1710">
              <w:rPr>
                <w:rFonts w:ascii="Times New Roman" w:hAnsi="Times New Roman" w:cs="Times New Roman"/>
                <w:sz w:val="24"/>
                <w:szCs w:val="24"/>
              </w:rPr>
              <w:t xml:space="preserve">-тренінгів для медичних працівників первинної ланки, стаціонарних установ та екстреної медичної допомоги. Тренінговий курс із реагування та надання психологічної допомоги під час стресових обставин від фахівців </w:t>
            </w:r>
            <w:r w:rsidRPr="00CF1710">
              <w:rPr>
                <w:rFonts w:ascii="Times New Roman" w:hAnsi="Times New Roman" w:cs="Times New Roman"/>
                <w:sz w:val="24"/>
                <w:szCs w:val="24"/>
              </w:rPr>
              <w:lastRenderedPageBreak/>
              <w:t xml:space="preserve">Ізраїльської коаліції травми пройшли близько 2000 медичних працівників. Наразі Департаментом спільно з Ізраїльською коаліцією травми започатковано новий навчальний флагманський для України проєкт для медичних працівників акушерсько-гінекологічних відділень </w:t>
            </w:r>
            <w:proofErr w:type="spellStart"/>
            <w:r w:rsidRPr="00CF1710">
              <w:rPr>
                <w:rFonts w:ascii="Times New Roman" w:hAnsi="Times New Roman" w:cs="Times New Roman"/>
                <w:sz w:val="24"/>
                <w:szCs w:val="24"/>
              </w:rPr>
              <w:t>пологодопоміжних</w:t>
            </w:r>
            <w:proofErr w:type="spellEnd"/>
            <w:r w:rsidRPr="00CF1710">
              <w:rPr>
                <w:rFonts w:ascii="Times New Roman" w:hAnsi="Times New Roman" w:cs="Times New Roman"/>
                <w:sz w:val="24"/>
                <w:szCs w:val="24"/>
              </w:rPr>
              <w:t xml:space="preserve"> закладів - "Інструменти та навички кризового реагування та психологічної допомоги вагітним, роділлям та породіллям".</w:t>
            </w:r>
          </w:p>
          <w:p w14:paraId="75CCAB6E"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Київською міською державною адміністрацією та україно-швейцарським </w:t>
            </w:r>
            <w:proofErr w:type="spellStart"/>
            <w:r w:rsidRPr="00CF1710">
              <w:rPr>
                <w:rFonts w:ascii="Times New Roman" w:hAnsi="Times New Roman" w:cs="Times New Roman"/>
                <w:sz w:val="24"/>
                <w:szCs w:val="24"/>
              </w:rPr>
              <w:t>проєктом</w:t>
            </w:r>
            <w:proofErr w:type="spellEnd"/>
            <w:r w:rsidRPr="00CF1710">
              <w:rPr>
                <w:rFonts w:ascii="Times New Roman" w:hAnsi="Times New Roman" w:cs="Times New Roman"/>
                <w:sz w:val="24"/>
                <w:szCs w:val="24"/>
              </w:rPr>
              <w:t xml:space="preserve"> MH4U (</w:t>
            </w:r>
            <w:proofErr w:type="spellStart"/>
            <w:r w:rsidRPr="00CF1710">
              <w:rPr>
                <w:rFonts w:ascii="Times New Roman" w:hAnsi="Times New Roman" w:cs="Times New Roman"/>
                <w:sz w:val="24"/>
                <w:szCs w:val="24"/>
              </w:rPr>
              <w:t>Mental</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Health</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for</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Ukraine</w:t>
            </w:r>
            <w:proofErr w:type="spellEnd"/>
            <w:r w:rsidRPr="00CF1710">
              <w:rPr>
                <w:rFonts w:ascii="Times New Roman" w:hAnsi="Times New Roman" w:cs="Times New Roman"/>
                <w:sz w:val="24"/>
                <w:szCs w:val="24"/>
              </w:rPr>
              <w:t>) підписано меморандум про співпрацю, спрямований на покращення доступу до послуг у сфері психічного здоров'я в місті Києві.</w:t>
            </w:r>
          </w:p>
          <w:p w14:paraId="47D985E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Упродовж 2024 - 2027 років планується поетапне впровадження сучасних моделей надання психіатричної допомоги, підвищення рівня підготовки медичних і соціальних фахівців, а також реалізація інформаційно-просвітницьких кампаній серед населення щодо важливості дотримання принципів психічного добробуту.</w:t>
            </w:r>
          </w:p>
          <w:p w14:paraId="7EF210B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 межах ініціативи Посольства Ізраїлю в Україні й Ізраїльського агентства з міжнародного співробітництва у сфері розвитку MASHAV на базі однієї зі столичних дитячих лікарень було продемонстровано практичне застосування надсучасних </w:t>
            </w:r>
            <w:proofErr w:type="spellStart"/>
            <w:r w:rsidRPr="00CF1710">
              <w:rPr>
                <w:rFonts w:ascii="Times New Roman" w:hAnsi="Times New Roman" w:cs="Times New Roman"/>
                <w:sz w:val="24"/>
                <w:szCs w:val="24"/>
              </w:rPr>
              <w:t>роботизованих</w:t>
            </w:r>
            <w:proofErr w:type="spellEnd"/>
            <w:r w:rsidRPr="00CF1710">
              <w:rPr>
                <w:rFonts w:ascii="Times New Roman" w:hAnsi="Times New Roman" w:cs="Times New Roman"/>
                <w:sz w:val="24"/>
                <w:szCs w:val="24"/>
              </w:rPr>
              <w:t xml:space="preserve"> реабілітаційних систем, спеціалізованого обладнання для дітей з аутизмом, а також модернізованих приладів для лабораторної діагностики, </w:t>
            </w:r>
            <w:proofErr w:type="spellStart"/>
            <w:r w:rsidRPr="00CF1710">
              <w:rPr>
                <w:rFonts w:ascii="Times New Roman" w:hAnsi="Times New Roman" w:cs="Times New Roman"/>
                <w:sz w:val="24"/>
                <w:szCs w:val="24"/>
              </w:rPr>
              <w:t>лапароскопічних</w:t>
            </w:r>
            <w:proofErr w:type="spellEnd"/>
            <w:r w:rsidRPr="00CF1710">
              <w:rPr>
                <w:rFonts w:ascii="Times New Roman" w:hAnsi="Times New Roman" w:cs="Times New Roman"/>
                <w:sz w:val="24"/>
                <w:szCs w:val="24"/>
              </w:rPr>
              <w:t xml:space="preserve"> операцій та обстежень, отриманих від міжнародних донорів.</w:t>
            </w:r>
          </w:p>
          <w:p w14:paraId="2778C9C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За програмою Київської міської державної адміністрації та Департаменту охорони здоров'я міста Києва лікарні столиці з 2022 року на регулярній основі співпрацюють з мерією міста Брюсселя. За результатами співпраці у двох медичних закладах було відкрито відділення </w:t>
            </w:r>
            <w:proofErr w:type="spellStart"/>
            <w:r w:rsidRPr="00CF1710">
              <w:rPr>
                <w:rFonts w:ascii="Times New Roman" w:hAnsi="Times New Roman" w:cs="Times New Roman"/>
                <w:sz w:val="24"/>
                <w:szCs w:val="24"/>
              </w:rPr>
              <w:t>реконструктивно</w:t>
            </w:r>
            <w:proofErr w:type="spellEnd"/>
            <w:r w:rsidRPr="00CF1710">
              <w:rPr>
                <w:rFonts w:ascii="Times New Roman" w:hAnsi="Times New Roman" w:cs="Times New Roman"/>
                <w:sz w:val="24"/>
                <w:szCs w:val="24"/>
              </w:rPr>
              <w:t xml:space="preserve">-пластичної хірургії, оснащені сучасним </w:t>
            </w:r>
            <w:proofErr w:type="spellStart"/>
            <w:r w:rsidRPr="00CF1710">
              <w:rPr>
                <w:rFonts w:ascii="Times New Roman" w:hAnsi="Times New Roman" w:cs="Times New Roman"/>
                <w:sz w:val="24"/>
                <w:szCs w:val="24"/>
              </w:rPr>
              <w:t>дороговартісним</w:t>
            </w:r>
            <w:proofErr w:type="spellEnd"/>
            <w:r w:rsidRPr="00CF1710">
              <w:rPr>
                <w:rFonts w:ascii="Times New Roman" w:hAnsi="Times New Roman" w:cs="Times New Roman"/>
                <w:sz w:val="24"/>
                <w:szCs w:val="24"/>
              </w:rPr>
              <w:t xml:space="preserve"> устаткуванням. Це дало змогу впровадити нові методики лікування та надавати високоспеціалізовану хірургічну </w:t>
            </w:r>
            <w:r w:rsidRPr="00CF1710">
              <w:rPr>
                <w:rFonts w:ascii="Times New Roman" w:hAnsi="Times New Roman" w:cs="Times New Roman"/>
                <w:sz w:val="24"/>
                <w:szCs w:val="24"/>
              </w:rPr>
              <w:lastRenderedPageBreak/>
              <w:t>медичну допомогу киянам і внутрішньо переміщеним особам, переважно пораненим військовослужбовцям.</w:t>
            </w:r>
          </w:p>
          <w:p w14:paraId="5FE183E0"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Фінансове забезпечення заходів Програми здійснюватиметься відповідно до Бюджетного кодексу України за рахунок коштів бюджету міста Києва, а також коштів підприємств, установ, організацій та інших джерел, не заборонених законодавством.</w:t>
            </w:r>
          </w:p>
          <w:p w14:paraId="698D052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Загальний обсяг фінансових ресурсів, необхідних для реалізації Програми, становить - 59047960,56 тис. грн.</w:t>
            </w:r>
          </w:p>
          <w:tbl>
            <w:tblPr>
              <w:tblW w:w="0" w:type="auto"/>
              <w:tblInd w:w="115" w:type="dxa"/>
              <w:tblLook w:val="0000" w:firstRow="0" w:lastRow="0" w:firstColumn="0" w:lastColumn="0" w:noHBand="0" w:noVBand="0"/>
            </w:tblPr>
            <w:tblGrid>
              <w:gridCol w:w="1149"/>
              <w:gridCol w:w="1200"/>
              <w:gridCol w:w="1199"/>
              <w:gridCol w:w="1199"/>
              <w:gridCol w:w="1199"/>
              <w:gridCol w:w="1199"/>
            </w:tblGrid>
            <w:tr w:rsidR="00CF1710" w:rsidRPr="00CF1710" w14:paraId="07551417" w14:textId="77777777" w:rsidTr="00A84088">
              <w:trPr>
                <w:trHeight w:val="45"/>
              </w:trPr>
              <w:tc>
                <w:tcPr>
                  <w:tcW w:w="844" w:type="dxa"/>
                  <w:vMerge w:val="restart"/>
                  <w:tcBorders>
                    <w:top w:val="outset" w:sz="8" w:space="0" w:color="000000"/>
                    <w:left w:val="outset" w:sz="8" w:space="0" w:color="000000"/>
                    <w:bottom w:val="outset" w:sz="8" w:space="0" w:color="000000"/>
                    <w:right w:val="outset" w:sz="8" w:space="0" w:color="000000"/>
                  </w:tcBorders>
                  <w:vAlign w:val="center"/>
                </w:tcPr>
                <w:p w14:paraId="2551346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Обсяги фінансових ресурсів, необхідних для реалізації Програми</w:t>
                  </w:r>
                </w:p>
              </w:tc>
              <w:tc>
                <w:tcPr>
                  <w:tcW w:w="992" w:type="dxa"/>
                  <w:vMerge w:val="restart"/>
                  <w:tcBorders>
                    <w:top w:val="outset" w:sz="8" w:space="0" w:color="000000"/>
                    <w:left w:val="outset" w:sz="8" w:space="0" w:color="000000"/>
                    <w:bottom w:val="outset" w:sz="8" w:space="0" w:color="000000"/>
                    <w:right w:val="outset" w:sz="8" w:space="0" w:color="000000"/>
                  </w:tcBorders>
                  <w:vAlign w:val="center"/>
                </w:tcPr>
                <w:p w14:paraId="37531AD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Всього</w:t>
                  </w:r>
                  <w:r w:rsidRPr="00CF1710">
                    <w:rPr>
                      <w:rFonts w:ascii="Times New Roman" w:hAnsi="Times New Roman" w:cs="Times New Roman"/>
                      <w:sz w:val="19"/>
                      <w:szCs w:val="19"/>
                    </w:rPr>
                    <w:br/>
                    <w:t>(тис. грн)</w:t>
                  </w:r>
                </w:p>
              </w:tc>
              <w:tc>
                <w:tcPr>
                  <w:tcW w:w="5103" w:type="dxa"/>
                  <w:gridSpan w:val="4"/>
                  <w:tcBorders>
                    <w:top w:val="outset" w:sz="8" w:space="0" w:color="000000"/>
                    <w:left w:val="outset" w:sz="8" w:space="0" w:color="000000"/>
                    <w:bottom w:val="outset" w:sz="8" w:space="0" w:color="000000"/>
                    <w:right w:val="outset" w:sz="8" w:space="0" w:color="000000"/>
                  </w:tcBorders>
                  <w:vAlign w:val="center"/>
                </w:tcPr>
                <w:p w14:paraId="0A3AA83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у тому числі за роками</w:t>
                  </w:r>
                </w:p>
              </w:tc>
            </w:tr>
            <w:tr w:rsidR="00CF1710" w:rsidRPr="00CF1710" w14:paraId="504C68B1" w14:textId="77777777" w:rsidTr="00A84088">
              <w:trPr>
                <w:trHeight w:val="45"/>
              </w:trPr>
              <w:tc>
                <w:tcPr>
                  <w:tcW w:w="844" w:type="dxa"/>
                  <w:vMerge/>
                  <w:tcBorders>
                    <w:left w:val="outset" w:sz="8" w:space="0" w:color="000000"/>
                    <w:bottom w:val="outset" w:sz="8" w:space="0" w:color="000000"/>
                    <w:right w:val="outset" w:sz="8" w:space="0" w:color="000000"/>
                  </w:tcBorders>
                </w:tcPr>
                <w:p w14:paraId="65F0675B" w14:textId="77777777" w:rsidR="00CF1710" w:rsidRPr="00CF1710" w:rsidRDefault="00CF1710" w:rsidP="00CF1710">
                  <w:pPr>
                    <w:widowControl w:val="0"/>
                    <w:spacing w:after="200"/>
                    <w:rPr>
                      <w:rFonts w:ascii="Times New Roman" w:hAnsi="Times New Roman" w:cs="Times New Roman"/>
                      <w:sz w:val="19"/>
                      <w:szCs w:val="19"/>
                    </w:rPr>
                  </w:pPr>
                </w:p>
              </w:tc>
              <w:tc>
                <w:tcPr>
                  <w:tcW w:w="992" w:type="dxa"/>
                  <w:vMerge/>
                  <w:tcBorders>
                    <w:left w:val="outset" w:sz="8" w:space="0" w:color="000000"/>
                    <w:bottom w:val="outset" w:sz="8" w:space="0" w:color="000000"/>
                    <w:right w:val="outset" w:sz="8" w:space="0" w:color="000000"/>
                  </w:tcBorders>
                </w:tcPr>
                <w:p w14:paraId="52BA0651" w14:textId="77777777" w:rsidR="00CF1710" w:rsidRPr="00CF1710" w:rsidRDefault="00CF1710" w:rsidP="00CF1710">
                  <w:pPr>
                    <w:widowControl w:val="0"/>
                    <w:spacing w:after="200"/>
                    <w:rPr>
                      <w:rFonts w:ascii="Times New Roman" w:hAnsi="Times New Roman" w:cs="Times New Roman"/>
                      <w:sz w:val="19"/>
                      <w:szCs w:val="19"/>
                    </w:rPr>
                  </w:pPr>
                </w:p>
              </w:tc>
              <w:tc>
                <w:tcPr>
                  <w:tcW w:w="1276" w:type="dxa"/>
                  <w:tcBorders>
                    <w:top w:val="outset" w:sz="8" w:space="0" w:color="000000"/>
                    <w:left w:val="outset" w:sz="8" w:space="0" w:color="000000"/>
                    <w:bottom w:val="outset" w:sz="8" w:space="0" w:color="000000"/>
                    <w:right w:val="outset" w:sz="8" w:space="0" w:color="000000"/>
                  </w:tcBorders>
                  <w:vAlign w:val="center"/>
                </w:tcPr>
                <w:p w14:paraId="45913FB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2024</w:t>
                  </w:r>
                </w:p>
              </w:tc>
              <w:tc>
                <w:tcPr>
                  <w:tcW w:w="1276" w:type="dxa"/>
                  <w:tcBorders>
                    <w:top w:val="outset" w:sz="8" w:space="0" w:color="000000"/>
                    <w:left w:val="outset" w:sz="8" w:space="0" w:color="000000"/>
                    <w:bottom w:val="outset" w:sz="8" w:space="0" w:color="000000"/>
                    <w:right w:val="outset" w:sz="8" w:space="0" w:color="000000"/>
                  </w:tcBorders>
                  <w:vAlign w:val="center"/>
                </w:tcPr>
                <w:p w14:paraId="70465E1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2025</w:t>
                  </w:r>
                </w:p>
              </w:tc>
              <w:tc>
                <w:tcPr>
                  <w:tcW w:w="1275" w:type="dxa"/>
                  <w:tcBorders>
                    <w:top w:val="outset" w:sz="8" w:space="0" w:color="000000"/>
                    <w:left w:val="outset" w:sz="8" w:space="0" w:color="000000"/>
                    <w:bottom w:val="outset" w:sz="8" w:space="0" w:color="000000"/>
                    <w:right w:val="outset" w:sz="8" w:space="0" w:color="000000"/>
                  </w:tcBorders>
                  <w:vAlign w:val="center"/>
                </w:tcPr>
                <w:p w14:paraId="5693A56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2026</w:t>
                  </w:r>
                </w:p>
              </w:tc>
              <w:tc>
                <w:tcPr>
                  <w:tcW w:w="1276" w:type="dxa"/>
                  <w:tcBorders>
                    <w:top w:val="outset" w:sz="8" w:space="0" w:color="000000"/>
                    <w:left w:val="outset" w:sz="8" w:space="0" w:color="000000"/>
                    <w:bottom w:val="outset" w:sz="8" w:space="0" w:color="000000"/>
                    <w:right w:val="outset" w:sz="8" w:space="0" w:color="000000"/>
                  </w:tcBorders>
                  <w:vAlign w:val="center"/>
                </w:tcPr>
                <w:p w14:paraId="793DBB6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2027</w:t>
                  </w:r>
                </w:p>
              </w:tc>
            </w:tr>
            <w:tr w:rsidR="00CF1710" w:rsidRPr="00CF1710" w14:paraId="1D6B23B3"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1E59205A"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Всього:</w:t>
                  </w:r>
                </w:p>
              </w:tc>
              <w:tc>
                <w:tcPr>
                  <w:tcW w:w="992" w:type="dxa"/>
                  <w:tcBorders>
                    <w:top w:val="outset" w:sz="8" w:space="0" w:color="000000"/>
                    <w:left w:val="outset" w:sz="8" w:space="0" w:color="000000"/>
                    <w:bottom w:val="outset" w:sz="8" w:space="0" w:color="000000"/>
                    <w:right w:val="outset" w:sz="8" w:space="0" w:color="000000"/>
                  </w:tcBorders>
                  <w:vAlign w:val="center"/>
                </w:tcPr>
                <w:p w14:paraId="5C3ACC3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59047960,56</w:t>
                  </w:r>
                </w:p>
              </w:tc>
              <w:tc>
                <w:tcPr>
                  <w:tcW w:w="1276" w:type="dxa"/>
                  <w:tcBorders>
                    <w:top w:val="outset" w:sz="8" w:space="0" w:color="000000"/>
                    <w:left w:val="outset" w:sz="8" w:space="0" w:color="000000"/>
                    <w:bottom w:val="outset" w:sz="8" w:space="0" w:color="000000"/>
                    <w:right w:val="outset" w:sz="8" w:space="0" w:color="000000"/>
                  </w:tcBorders>
                  <w:vAlign w:val="center"/>
                </w:tcPr>
                <w:p w14:paraId="56B8A08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12654915,74</w:t>
                  </w:r>
                </w:p>
              </w:tc>
              <w:tc>
                <w:tcPr>
                  <w:tcW w:w="1276" w:type="dxa"/>
                  <w:tcBorders>
                    <w:top w:val="outset" w:sz="8" w:space="0" w:color="000000"/>
                    <w:left w:val="outset" w:sz="8" w:space="0" w:color="000000"/>
                    <w:bottom w:val="outset" w:sz="8" w:space="0" w:color="000000"/>
                    <w:right w:val="outset" w:sz="8" w:space="0" w:color="000000"/>
                  </w:tcBorders>
                  <w:vAlign w:val="center"/>
                </w:tcPr>
                <w:p w14:paraId="03F28F3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14099405,63</w:t>
                  </w:r>
                </w:p>
              </w:tc>
              <w:tc>
                <w:tcPr>
                  <w:tcW w:w="1275" w:type="dxa"/>
                  <w:tcBorders>
                    <w:top w:val="outset" w:sz="8" w:space="0" w:color="000000"/>
                    <w:left w:val="outset" w:sz="8" w:space="0" w:color="000000"/>
                    <w:bottom w:val="outset" w:sz="8" w:space="0" w:color="000000"/>
                    <w:right w:val="outset" w:sz="8" w:space="0" w:color="000000"/>
                  </w:tcBorders>
                  <w:vAlign w:val="center"/>
                </w:tcPr>
                <w:p w14:paraId="0B6D11B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15672560,13</w:t>
                  </w:r>
                </w:p>
              </w:tc>
              <w:tc>
                <w:tcPr>
                  <w:tcW w:w="1276" w:type="dxa"/>
                  <w:tcBorders>
                    <w:top w:val="outset" w:sz="8" w:space="0" w:color="000000"/>
                    <w:left w:val="outset" w:sz="8" w:space="0" w:color="000000"/>
                    <w:bottom w:val="outset" w:sz="8" w:space="0" w:color="000000"/>
                    <w:right w:val="outset" w:sz="8" w:space="0" w:color="000000"/>
                  </w:tcBorders>
                  <w:vAlign w:val="center"/>
                </w:tcPr>
                <w:p w14:paraId="724D600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16621079,06</w:t>
                  </w:r>
                </w:p>
              </w:tc>
            </w:tr>
            <w:tr w:rsidR="00CF1710" w:rsidRPr="00CF1710" w14:paraId="3561891C"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3245546F"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у тому числі за джерелами:</w:t>
                  </w:r>
                </w:p>
              </w:tc>
              <w:tc>
                <w:tcPr>
                  <w:tcW w:w="992" w:type="dxa"/>
                  <w:tcBorders>
                    <w:top w:val="outset" w:sz="8" w:space="0" w:color="000000"/>
                    <w:left w:val="outset" w:sz="8" w:space="0" w:color="000000"/>
                    <w:bottom w:val="outset" w:sz="8" w:space="0" w:color="000000"/>
                    <w:right w:val="outset" w:sz="8" w:space="0" w:color="000000"/>
                  </w:tcBorders>
                  <w:vAlign w:val="center"/>
                </w:tcPr>
                <w:p w14:paraId="28C4E7F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2503A6B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181F152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5" w:type="dxa"/>
                  <w:tcBorders>
                    <w:top w:val="outset" w:sz="8" w:space="0" w:color="000000"/>
                    <w:left w:val="outset" w:sz="8" w:space="0" w:color="000000"/>
                    <w:bottom w:val="outset" w:sz="8" w:space="0" w:color="000000"/>
                    <w:right w:val="outset" w:sz="8" w:space="0" w:color="000000"/>
                  </w:tcBorders>
                  <w:vAlign w:val="center"/>
                </w:tcPr>
                <w:p w14:paraId="7B7BDAE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c>
                <w:tcPr>
                  <w:tcW w:w="1276" w:type="dxa"/>
                  <w:tcBorders>
                    <w:top w:val="outset" w:sz="8" w:space="0" w:color="000000"/>
                    <w:left w:val="outset" w:sz="8" w:space="0" w:color="000000"/>
                    <w:bottom w:val="outset" w:sz="8" w:space="0" w:color="000000"/>
                    <w:right w:val="outset" w:sz="8" w:space="0" w:color="000000"/>
                  </w:tcBorders>
                  <w:vAlign w:val="center"/>
                </w:tcPr>
                <w:p w14:paraId="598A9AC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 </w:t>
                  </w:r>
                </w:p>
              </w:tc>
            </w:tr>
            <w:tr w:rsidR="00CF1710" w:rsidRPr="00CF1710" w14:paraId="1550CA6B"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79D5BA74"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державний бюджет</w:t>
                  </w:r>
                </w:p>
              </w:tc>
              <w:tc>
                <w:tcPr>
                  <w:tcW w:w="992" w:type="dxa"/>
                  <w:tcBorders>
                    <w:top w:val="outset" w:sz="8" w:space="0" w:color="000000"/>
                    <w:left w:val="outset" w:sz="8" w:space="0" w:color="000000"/>
                    <w:bottom w:val="outset" w:sz="8" w:space="0" w:color="000000"/>
                    <w:right w:val="outset" w:sz="8" w:space="0" w:color="000000"/>
                  </w:tcBorders>
                  <w:vAlign w:val="center"/>
                </w:tcPr>
                <w:p w14:paraId="175EF8B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31775E3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4B663B7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5" w:type="dxa"/>
                  <w:tcBorders>
                    <w:top w:val="outset" w:sz="8" w:space="0" w:color="000000"/>
                    <w:left w:val="outset" w:sz="8" w:space="0" w:color="000000"/>
                    <w:bottom w:val="outset" w:sz="8" w:space="0" w:color="000000"/>
                    <w:right w:val="outset" w:sz="8" w:space="0" w:color="000000"/>
                  </w:tcBorders>
                  <w:vAlign w:val="center"/>
                </w:tcPr>
                <w:p w14:paraId="2C0556F9"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1276" w:type="dxa"/>
                  <w:tcBorders>
                    <w:top w:val="outset" w:sz="8" w:space="0" w:color="000000"/>
                    <w:left w:val="outset" w:sz="8" w:space="0" w:color="000000"/>
                    <w:bottom w:val="outset" w:sz="8" w:space="0" w:color="000000"/>
                    <w:right w:val="outset" w:sz="8" w:space="0" w:color="000000"/>
                  </w:tcBorders>
                  <w:vAlign w:val="center"/>
                </w:tcPr>
                <w:p w14:paraId="63E64E2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r>
            <w:tr w:rsidR="00CF1710" w:rsidRPr="00CF1710" w14:paraId="69B934C7"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577230B4"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бюджет міста Києва</w:t>
                  </w:r>
                </w:p>
              </w:tc>
              <w:tc>
                <w:tcPr>
                  <w:tcW w:w="992" w:type="dxa"/>
                  <w:tcBorders>
                    <w:top w:val="outset" w:sz="8" w:space="0" w:color="000000"/>
                    <w:left w:val="outset" w:sz="8" w:space="0" w:color="000000"/>
                    <w:bottom w:val="outset" w:sz="8" w:space="0" w:color="000000"/>
                    <w:right w:val="outset" w:sz="8" w:space="0" w:color="000000"/>
                  </w:tcBorders>
                  <w:vAlign w:val="center"/>
                </w:tcPr>
                <w:p w14:paraId="52C34E5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52415048,50</w:t>
                  </w:r>
                </w:p>
              </w:tc>
              <w:tc>
                <w:tcPr>
                  <w:tcW w:w="1276" w:type="dxa"/>
                  <w:tcBorders>
                    <w:top w:val="outset" w:sz="8" w:space="0" w:color="000000"/>
                    <w:left w:val="outset" w:sz="8" w:space="0" w:color="000000"/>
                    <w:bottom w:val="outset" w:sz="8" w:space="0" w:color="000000"/>
                    <w:right w:val="outset" w:sz="8" w:space="0" w:color="000000"/>
                  </w:tcBorders>
                  <w:vAlign w:val="center"/>
                </w:tcPr>
                <w:p w14:paraId="29A06CF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11048318,08</w:t>
                  </w:r>
                </w:p>
              </w:tc>
              <w:tc>
                <w:tcPr>
                  <w:tcW w:w="1276" w:type="dxa"/>
                  <w:tcBorders>
                    <w:top w:val="outset" w:sz="8" w:space="0" w:color="000000"/>
                    <w:left w:val="outset" w:sz="8" w:space="0" w:color="000000"/>
                    <w:bottom w:val="outset" w:sz="8" w:space="0" w:color="000000"/>
                    <w:right w:val="outset" w:sz="8" w:space="0" w:color="000000"/>
                  </w:tcBorders>
                  <w:vAlign w:val="center"/>
                </w:tcPr>
                <w:p w14:paraId="0A811D0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12942673,67</w:t>
                  </w:r>
                </w:p>
              </w:tc>
              <w:tc>
                <w:tcPr>
                  <w:tcW w:w="1275" w:type="dxa"/>
                  <w:tcBorders>
                    <w:top w:val="outset" w:sz="8" w:space="0" w:color="000000"/>
                    <w:left w:val="outset" w:sz="8" w:space="0" w:color="000000"/>
                    <w:bottom w:val="outset" w:sz="8" w:space="0" w:color="000000"/>
                    <w:right w:val="outset" w:sz="8" w:space="0" w:color="000000"/>
                  </w:tcBorders>
                  <w:vAlign w:val="center"/>
                </w:tcPr>
                <w:p w14:paraId="164301C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13810393,41</w:t>
                  </w:r>
                </w:p>
              </w:tc>
              <w:tc>
                <w:tcPr>
                  <w:tcW w:w="1276" w:type="dxa"/>
                  <w:tcBorders>
                    <w:top w:val="outset" w:sz="8" w:space="0" w:color="000000"/>
                    <w:left w:val="outset" w:sz="8" w:space="0" w:color="000000"/>
                    <w:bottom w:val="outset" w:sz="8" w:space="0" w:color="000000"/>
                    <w:right w:val="outset" w:sz="8" w:space="0" w:color="000000"/>
                  </w:tcBorders>
                  <w:vAlign w:val="center"/>
                </w:tcPr>
                <w:p w14:paraId="23A7717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14613663,34</w:t>
                  </w:r>
                </w:p>
              </w:tc>
            </w:tr>
            <w:tr w:rsidR="00CF1710" w:rsidRPr="00CF1710" w14:paraId="47624B1A" w14:textId="77777777" w:rsidTr="00A84088">
              <w:trPr>
                <w:trHeight w:val="45"/>
              </w:trPr>
              <w:tc>
                <w:tcPr>
                  <w:tcW w:w="844" w:type="dxa"/>
                  <w:tcBorders>
                    <w:top w:val="outset" w:sz="8" w:space="0" w:color="000000"/>
                    <w:left w:val="outset" w:sz="8" w:space="0" w:color="000000"/>
                    <w:bottom w:val="outset" w:sz="8" w:space="0" w:color="000000"/>
                    <w:right w:val="outset" w:sz="8" w:space="0" w:color="000000"/>
                  </w:tcBorders>
                  <w:vAlign w:val="center"/>
                </w:tcPr>
                <w:p w14:paraId="012A9FDF"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інші джерела</w:t>
                  </w:r>
                </w:p>
              </w:tc>
              <w:tc>
                <w:tcPr>
                  <w:tcW w:w="992" w:type="dxa"/>
                  <w:tcBorders>
                    <w:top w:val="outset" w:sz="8" w:space="0" w:color="000000"/>
                    <w:left w:val="outset" w:sz="8" w:space="0" w:color="000000"/>
                    <w:bottom w:val="outset" w:sz="8" w:space="0" w:color="000000"/>
                    <w:right w:val="outset" w:sz="8" w:space="0" w:color="000000"/>
                  </w:tcBorders>
                  <w:vAlign w:val="center"/>
                </w:tcPr>
                <w:p w14:paraId="5B43DED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6632912,06</w:t>
                  </w:r>
                </w:p>
              </w:tc>
              <w:tc>
                <w:tcPr>
                  <w:tcW w:w="1276" w:type="dxa"/>
                  <w:tcBorders>
                    <w:top w:val="outset" w:sz="8" w:space="0" w:color="000000"/>
                    <w:left w:val="outset" w:sz="8" w:space="0" w:color="000000"/>
                    <w:bottom w:val="outset" w:sz="8" w:space="0" w:color="000000"/>
                    <w:right w:val="outset" w:sz="8" w:space="0" w:color="000000"/>
                  </w:tcBorders>
                  <w:vAlign w:val="center"/>
                </w:tcPr>
                <w:p w14:paraId="55C9AE9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1606597,66</w:t>
                  </w:r>
                </w:p>
              </w:tc>
              <w:tc>
                <w:tcPr>
                  <w:tcW w:w="1276" w:type="dxa"/>
                  <w:tcBorders>
                    <w:top w:val="outset" w:sz="8" w:space="0" w:color="000000"/>
                    <w:left w:val="outset" w:sz="8" w:space="0" w:color="000000"/>
                    <w:bottom w:val="outset" w:sz="8" w:space="0" w:color="000000"/>
                    <w:right w:val="outset" w:sz="8" w:space="0" w:color="000000"/>
                  </w:tcBorders>
                  <w:vAlign w:val="center"/>
                </w:tcPr>
                <w:p w14:paraId="353C724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1156731,96</w:t>
                  </w:r>
                </w:p>
              </w:tc>
              <w:tc>
                <w:tcPr>
                  <w:tcW w:w="1275" w:type="dxa"/>
                  <w:tcBorders>
                    <w:top w:val="outset" w:sz="8" w:space="0" w:color="000000"/>
                    <w:left w:val="outset" w:sz="8" w:space="0" w:color="000000"/>
                    <w:bottom w:val="outset" w:sz="8" w:space="0" w:color="000000"/>
                    <w:right w:val="outset" w:sz="8" w:space="0" w:color="000000"/>
                  </w:tcBorders>
                  <w:vAlign w:val="center"/>
                </w:tcPr>
                <w:p w14:paraId="6AFA202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1862166,72</w:t>
                  </w:r>
                </w:p>
              </w:tc>
              <w:tc>
                <w:tcPr>
                  <w:tcW w:w="1276" w:type="dxa"/>
                  <w:tcBorders>
                    <w:top w:val="outset" w:sz="8" w:space="0" w:color="000000"/>
                    <w:left w:val="outset" w:sz="8" w:space="0" w:color="000000"/>
                    <w:bottom w:val="outset" w:sz="8" w:space="0" w:color="000000"/>
                    <w:right w:val="outset" w:sz="8" w:space="0" w:color="000000"/>
                  </w:tcBorders>
                  <w:vAlign w:val="center"/>
                </w:tcPr>
                <w:p w14:paraId="18B0881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2007415,72</w:t>
                  </w:r>
                </w:p>
              </w:tc>
            </w:tr>
          </w:tbl>
          <w:p w14:paraId="17981DFB"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Обсяг фінансування </w:t>
            </w:r>
            <w:proofErr w:type="spellStart"/>
            <w:r w:rsidRPr="00CF1710">
              <w:rPr>
                <w:rFonts w:ascii="Times New Roman" w:hAnsi="Times New Roman" w:cs="Times New Roman"/>
                <w:sz w:val="24"/>
                <w:szCs w:val="24"/>
              </w:rPr>
              <w:t>уточнюється</w:t>
            </w:r>
            <w:proofErr w:type="spellEnd"/>
            <w:r w:rsidRPr="00CF1710">
              <w:rPr>
                <w:rFonts w:ascii="Times New Roman" w:hAnsi="Times New Roman" w:cs="Times New Roman"/>
                <w:sz w:val="24"/>
                <w:szCs w:val="24"/>
              </w:rPr>
              <w:t xml:space="preserve"> щороку в установленому порядку під час складання </w:t>
            </w:r>
            <w:proofErr w:type="spellStart"/>
            <w:r w:rsidRPr="00CF1710">
              <w:rPr>
                <w:rFonts w:ascii="Times New Roman" w:hAnsi="Times New Roman" w:cs="Times New Roman"/>
                <w:sz w:val="24"/>
                <w:szCs w:val="24"/>
              </w:rPr>
              <w:t>проєкту</w:t>
            </w:r>
            <w:proofErr w:type="spellEnd"/>
            <w:r w:rsidRPr="00CF1710">
              <w:rPr>
                <w:rFonts w:ascii="Times New Roman" w:hAnsi="Times New Roman" w:cs="Times New Roman"/>
                <w:sz w:val="24"/>
                <w:szCs w:val="24"/>
              </w:rPr>
              <w:t xml:space="preserve"> бюджету міста Києва на відповідний рік у межах видатків, передбачених головному розпорядникові коштів.</w:t>
            </w:r>
          </w:p>
          <w:p w14:paraId="41C2E8A5"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Строки виконання Програми 2024 - 2027 роки.</w:t>
            </w:r>
          </w:p>
          <w:p w14:paraId="6D63E03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Дія заходів міської цільової програми "Підтримка та розвиток галузі охорони здоров'я столиці" на 2024 - 2027 роки з 01 вересня 2026 року поширюється на осіб, які мають задеклароване / зареєстроване місце </w:t>
            </w:r>
            <w:r w:rsidRPr="00CF1710">
              <w:rPr>
                <w:rFonts w:ascii="Times New Roman" w:hAnsi="Times New Roman" w:cs="Times New Roman"/>
                <w:sz w:val="24"/>
                <w:szCs w:val="24"/>
              </w:rPr>
              <w:lastRenderedPageBreak/>
              <w:t>проживання (перебування) у місті Києві або мають довідку про взяття на облік внутрішньо переміщеної особи, що підтверджує місце проживання внутрішньо переміщеної особи на території міста Києва, та отримують первинну медичну допомогу в комунальних закладах охорони здоров'я територіальної громади міста Києва не менше ніж три місяці до дати отримання лікарських засобів, медичних виробів та лікувального харчування, закуплених за кошти, передбачені на реалізацію цієї Програми, крім випадків надання екстреної медичної допомоги, а також надання медичної допомоги військовослужбовцям Збройних Сил України, які евакуйовані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 Підтвердженням отримання особою первинної медичної допомоги є відомості з електронної системи охорони здоров'я, зокрема щодо укладеної декларації про вибір лікаря, який надає первинну медичну допомогу.</w:t>
            </w:r>
          </w:p>
          <w:p w14:paraId="2B9CF1B3"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метою покращення доступності до інноваційних лікарських засобів Департамент охорони здоров'я міста Києва може укладати договори про взаємодію під час здійснення закупівель за договорами керованого доступу згідно з порядком, затвердженим постановою Кабінету Міністрів України від 27 січня 2021 року N 61 "Деякі питання щодо договорів керованого доступу та зупинення дії абзацу першого пункту 1</w:t>
            </w:r>
            <w:r w:rsidRPr="00CF1710">
              <w:rPr>
                <w:rFonts w:ascii="Times New Roman" w:hAnsi="Times New Roman" w:cs="Times New Roman"/>
                <w:sz w:val="24"/>
                <w:szCs w:val="24"/>
                <w:vertAlign w:val="superscript"/>
              </w:rPr>
              <w:t>2</w:t>
            </w:r>
            <w:r w:rsidRPr="00CF1710">
              <w:rPr>
                <w:rFonts w:ascii="Times New Roman" w:hAnsi="Times New Roman" w:cs="Times New Roman"/>
                <w:sz w:val="24"/>
                <w:szCs w:val="24"/>
              </w:rPr>
              <w:t xml:space="preserve"> постанови Кабінету Міністрів України від 25 березня 2009 р. N 333".</w:t>
            </w:r>
          </w:p>
          <w:p w14:paraId="3EF12C8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Відповідальний виконавець програми може спрямувати кошти в межах обсягу видатків, передбачених на відповідний рік, на погашення зобов'язань минулих років.</w:t>
            </w:r>
          </w:p>
          <w:p w14:paraId="45462257"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lastRenderedPageBreak/>
              <w:t>V. АНАЛІЗ ВПЛИВУ ЗАХОДІВ ПРОГРАМИ НА СОЦІАЛЬНО-ЕКОНОМІЧНЕ СТАНОВИЩЕ РІЗНИХ КАТЕГОРІЙ ЖІНОК І ЧОЛОВІКІВ, А ТАКОЖ НА ЗАБЕЗПЕЧЕННЯ ГЕНДЕРНОЇ РІВНОСТІ</w:t>
            </w:r>
          </w:p>
          <w:p w14:paraId="2EA041A4"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Реалізація Програми враховує забезпечення доступу до високоякісних медичних послуг на рівних правах та можливостях жінок і чоловіків, хлопчиків і </w:t>
            </w:r>
            <w:proofErr w:type="spellStart"/>
            <w:r w:rsidRPr="00CF1710">
              <w:rPr>
                <w:rFonts w:ascii="Times New Roman" w:hAnsi="Times New Roman" w:cs="Times New Roman"/>
                <w:sz w:val="24"/>
                <w:szCs w:val="24"/>
              </w:rPr>
              <w:t>дівчаток</w:t>
            </w:r>
            <w:proofErr w:type="spellEnd"/>
            <w:r w:rsidRPr="00CF1710">
              <w:rPr>
                <w:rFonts w:ascii="Times New Roman" w:hAnsi="Times New Roman" w:cs="Times New Roman"/>
                <w:sz w:val="24"/>
                <w:szCs w:val="24"/>
              </w:rPr>
              <w:t xml:space="preserve">, особливо тих, які перебувають у складних життєвих обставинах, зумовлених, зокрема, інвалідністю, наявністю невиліковних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xml:space="preserve"> та </w:t>
            </w:r>
            <w:proofErr w:type="spellStart"/>
            <w:r w:rsidRPr="00CF1710">
              <w:rPr>
                <w:rFonts w:ascii="Times New Roman" w:hAnsi="Times New Roman" w:cs="Times New Roman"/>
                <w:sz w:val="24"/>
                <w:szCs w:val="24"/>
              </w:rPr>
              <w:t>хвороб</w:t>
            </w:r>
            <w:proofErr w:type="spellEnd"/>
            <w:r w:rsidRPr="00CF1710">
              <w:rPr>
                <w:rFonts w:ascii="Times New Roman" w:hAnsi="Times New Roman" w:cs="Times New Roman"/>
                <w:sz w:val="24"/>
                <w:szCs w:val="24"/>
              </w:rPr>
              <w:t>, які потребують тривалого лікування, а також жінок і чоловіків - представників національних меншин та інших соціальних груп, які зазнають множинної дискримінації. Під час реалізації заходів немає обмежень чи привілеїв за ознакою статі.</w:t>
            </w:r>
          </w:p>
          <w:p w14:paraId="550308D8"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Заходи Програми спрямовані на забезпечення нагальних потреб жінок і чоловіків, хлопчиків і дівчат, осіб з інвалідністю в постійній підтримці рівня здоров'я.</w:t>
            </w:r>
          </w:p>
          <w:p w14:paraId="70771F42"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Основними групами населення, на які спрямована Програма, є: пацієнти / пацієнтки дитячого та дорослого віку, хворі на цукровий діабет; дівчата і хлопчики дитячого віку із передчасним статевим розвитком аналогами </w:t>
            </w:r>
            <w:proofErr w:type="spellStart"/>
            <w:r w:rsidRPr="00CF1710">
              <w:rPr>
                <w:rFonts w:ascii="Times New Roman" w:hAnsi="Times New Roman" w:cs="Times New Roman"/>
                <w:sz w:val="24"/>
                <w:szCs w:val="24"/>
              </w:rPr>
              <w:t>гонадотропін-рилізинг</w:t>
            </w:r>
            <w:proofErr w:type="spellEnd"/>
            <w:r w:rsidRPr="00CF1710">
              <w:rPr>
                <w:rFonts w:ascii="Times New Roman" w:hAnsi="Times New Roman" w:cs="Times New Roman"/>
                <w:sz w:val="24"/>
                <w:szCs w:val="24"/>
              </w:rPr>
              <w:t xml:space="preserve"> гормону; пацієнти / пацієнтки дитячого віку, хворі на </w:t>
            </w:r>
            <w:proofErr w:type="spellStart"/>
            <w:r w:rsidRPr="00CF1710">
              <w:rPr>
                <w:rFonts w:ascii="Times New Roman" w:hAnsi="Times New Roman" w:cs="Times New Roman"/>
                <w:sz w:val="24"/>
                <w:szCs w:val="24"/>
              </w:rPr>
              <w:t>гіпофізарний</w:t>
            </w:r>
            <w:proofErr w:type="spellEnd"/>
            <w:r w:rsidRPr="00CF1710">
              <w:rPr>
                <w:rFonts w:ascii="Times New Roman" w:hAnsi="Times New Roman" w:cs="Times New Roman"/>
                <w:sz w:val="24"/>
                <w:szCs w:val="24"/>
              </w:rPr>
              <w:t xml:space="preserve"> нанізм та нанізм різного походження; пацієнти / пацієнтки, хворі на акромегалію, на </w:t>
            </w:r>
            <w:proofErr w:type="spellStart"/>
            <w:r w:rsidRPr="00CF1710">
              <w:rPr>
                <w:rFonts w:ascii="Times New Roman" w:hAnsi="Times New Roman" w:cs="Times New Roman"/>
                <w:sz w:val="24"/>
                <w:szCs w:val="24"/>
              </w:rPr>
              <w:t>муковісцидоз</w:t>
            </w:r>
            <w:proofErr w:type="spellEnd"/>
            <w:r w:rsidRPr="00CF1710">
              <w:rPr>
                <w:rFonts w:ascii="Times New Roman" w:hAnsi="Times New Roman" w:cs="Times New Roman"/>
                <w:sz w:val="24"/>
                <w:szCs w:val="24"/>
              </w:rPr>
              <w:t xml:space="preserve">, на </w:t>
            </w:r>
            <w:proofErr w:type="spellStart"/>
            <w:r w:rsidRPr="00CF1710">
              <w:rPr>
                <w:rFonts w:ascii="Times New Roman" w:hAnsi="Times New Roman" w:cs="Times New Roman"/>
                <w:sz w:val="24"/>
                <w:szCs w:val="24"/>
              </w:rPr>
              <w:t>фенілкетонурію</w:t>
            </w:r>
            <w:proofErr w:type="spellEnd"/>
            <w:r w:rsidRPr="00CF1710">
              <w:rPr>
                <w:rFonts w:ascii="Times New Roman" w:hAnsi="Times New Roman" w:cs="Times New Roman"/>
                <w:sz w:val="24"/>
                <w:szCs w:val="24"/>
              </w:rPr>
              <w:t xml:space="preserve">, на ювенільний </w:t>
            </w:r>
            <w:proofErr w:type="spellStart"/>
            <w:r w:rsidRPr="00CF1710">
              <w:rPr>
                <w:rFonts w:ascii="Times New Roman" w:hAnsi="Times New Roman" w:cs="Times New Roman"/>
                <w:sz w:val="24"/>
                <w:szCs w:val="24"/>
              </w:rPr>
              <w:t>ревматоїдний</w:t>
            </w:r>
            <w:proofErr w:type="spellEnd"/>
            <w:r w:rsidRPr="00CF1710">
              <w:rPr>
                <w:rFonts w:ascii="Times New Roman" w:hAnsi="Times New Roman" w:cs="Times New Roman"/>
                <w:sz w:val="24"/>
                <w:szCs w:val="24"/>
              </w:rPr>
              <w:t xml:space="preserve"> артрит, </w:t>
            </w:r>
            <w:proofErr w:type="spellStart"/>
            <w:r w:rsidRPr="00CF1710">
              <w:rPr>
                <w:rFonts w:ascii="Times New Roman" w:hAnsi="Times New Roman" w:cs="Times New Roman"/>
                <w:sz w:val="24"/>
                <w:szCs w:val="24"/>
              </w:rPr>
              <w:t>спондилоартрити</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спінально</w:t>
            </w:r>
            <w:proofErr w:type="spellEnd"/>
            <w:r w:rsidRPr="00CF1710">
              <w:rPr>
                <w:rFonts w:ascii="Times New Roman" w:hAnsi="Times New Roman" w:cs="Times New Roman"/>
                <w:sz w:val="24"/>
                <w:szCs w:val="24"/>
              </w:rPr>
              <w:t xml:space="preserve">-м'язову атрофію, хворобу </w:t>
            </w:r>
            <w:proofErr w:type="spellStart"/>
            <w:r w:rsidRPr="00CF1710">
              <w:rPr>
                <w:rFonts w:ascii="Times New Roman" w:hAnsi="Times New Roman" w:cs="Times New Roman"/>
                <w:sz w:val="24"/>
                <w:szCs w:val="24"/>
              </w:rPr>
              <w:t>Гоше</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мукополісахаридоз</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бульозний</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епідермоліз</w:t>
            </w:r>
            <w:proofErr w:type="spellEnd"/>
            <w:r w:rsidRPr="00CF1710">
              <w:rPr>
                <w:rFonts w:ascii="Times New Roman" w:hAnsi="Times New Roman" w:cs="Times New Roman"/>
                <w:sz w:val="24"/>
                <w:szCs w:val="24"/>
              </w:rPr>
              <w:t xml:space="preserve">, на запальні хронічні захворювання товстого кишківника; пацієнти / пацієнтки дитячого віку з хворобою Кавасакі, хворі на легеневу гіпертензію, хворі на </w:t>
            </w:r>
            <w:proofErr w:type="spellStart"/>
            <w:r w:rsidRPr="00CF1710">
              <w:rPr>
                <w:rFonts w:ascii="Times New Roman" w:hAnsi="Times New Roman" w:cs="Times New Roman"/>
                <w:sz w:val="24"/>
                <w:szCs w:val="24"/>
              </w:rPr>
              <w:t>метілмалонову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аміноацидурію</w:t>
            </w:r>
            <w:proofErr w:type="spellEnd"/>
            <w:r w:rsidRPr="00CF1710">
              <w:rPr>
                <w:rFonts w:ascii="Times New Roman" w:hAnsi="Times New Roman" w:cs="Times New Roman"/>
                <w:sz w:val="24"/>
                <w:szCs w:val="24"/>
              </w:rPr>
              <w:t xml:space="preserve">; пацієнти / пацієнтки, хворі на первинний імунодефіцит, на розсіяний склероз, на </w:t>
            </w:r>
            <w:proofErr w:type="spellStart"/>
            <w:r w:rsidRPr="00CF1710">
              <w:rPr>
                <w:rFonts w:ascii="Times New Roman" w:hAnsi="Times New Roman" w:cs="Times New Roman"/>
                <w:sz w:val="24"/>
                <w:szCs w:val="24"/>
              </w:rPr>
              <w:t>ідіопатичну</w:t>
            </w:r>
            <w:proofErr w:type="spellEnd"/>
            <w:r w:rsidRPr="00CF1710">
              <w:rPr>
                <w:rFonts w:ascii="Times New Roman" w:hAnsi="Times New Roman" w:cs="Times New Roman"/>
                <w:sz w:val="24"/>
                <w:szCs w:val="24"/>
              </w:rPr>
              <w:t xml:space="preserve"> </w:t>
            </w:r>
            <w:proofErr w:type="spellStart"/>
            <w:r w:rsidRPr="00CF1710">
              <w:rPr>
                <w:rFonts w:ascii="Times New Roman" w:hAnsi="Times New Roman" w:cs="Times New Roman"/>
                <w:sz w:val="24"/>
                <w:szCs w:val="24"/>
              </w:rPr>
              <w:t>тромбоцитопенічну</w:t>
            </w:r>
            <w:proofErr w:type="spellEnd"/>
            <w:r w:rsidRPr="00CF1710">
              <w:rPr>
                <w:rFonts w:ascii="Times New Roman" w:hAnsi="Times New Roman" w:cs="Times New Roman"/>
                <w:sz w:val="24"/>
                <w:szCs w:val="24"/>
              </w:rPr>
              <w:t xml:space="preserve"> пурпуру, на </w:t>
            </w:r>
            <w:proofErr w:type="spellStart"/>
            <w:r w:rsidRPr="00CF1710">
              <w:rPr>
                <w:rFonts w:ascii="Times New Roman" w:hAnsi="Times New Roman" w:cs="Times New Roman"/>
                <w:sz w:val="24"/>
                <w:szCs w:val="24"/>
              </w:rPr>
              <w:t>коагулопатію</w:t>
            </w:r>
            <w:proofErr w:type="spellEnd"/>
            <w:r w:rsidRPr="00CF1710">
              <w:rPr>
                <w:rFonts w:ascii="Times New Roman" w:hAnsi="Times New Roman" w:cs="Times New Roman"/>
                <w:sz w:val="24"/>
                <w:szCs w:val="24"/>
              </w:rPr>
              <w:t xml:space="preserve">, з </w:t>
            </w:r>
            <w:proofErr w:type="spellStart"/>
            <w:r w:rsidRPr="00CF1710">
              <w:rPr>
                <w:rFonts w:ascii="Times New Roman" w:hAnsi="Times New Roman" w:cs="Times New Roman"/>
                <w:sz w:val="24"/>
                <w:szCs w:val="24"/>
              </w:rPr>
              <w:t>онкогематологічною</w:t>
            </w:r>
            <w:proofErr w:type="spellEnd"/>
            <w:r w:rsidRPr="00CF1710">
              <w:rPr>
                <w:rFonts w:ascii="Times New Roman" w:hAnsi="Times New Roman" w:cs="Times New Roman"/>
                <w:sz w:val="24"/>
                <w:szCs w:val="24"/>
              </w:rPr>
              <w:t xml:space="preserve"> патологією, з хворобами нирок; пацієнти / пацієнтки, які мають вади слуху та мовлення, з вадами серця, що потребують заміни суглобів (тазових, кульшових, плечових); пацієнти / пацієнтки з судинно-</w:t>
            </w:r>
            <w:r w:rsidRPr="00CF1710">
              <w:rPr>
                <w:rFonts w:ascii="Times New Roman" w:hAnsi="Times New Roman" w:cs="Times New Roman"/>
                <w:sz w:val="24"/>
                <w:szCs w:val="24"/>
              </w:rPr>
              <w:lastRenderedPageBreak/>
              <w:t xml:space="preserve">мозковими захворюваннями, серцево-судинними захворюваннями; пацієнти, що потребують лікування за допомогою сучасних клітинних технологій, зокрема культивованих </w:t>
            </w:r>
            <w:proofErr w:type="spellStart"/>
            <w:r w:rsidRPr="00CF1710">
              <w:rPr>
                <w:rFonts w:ascii="Times New Roman" w:hAnsi="Times New Roman" w:cs="Times New Roman"/>
                <w:sz w:val="24"/>
                <w:szCs w:val="24"/>
              </w:rPr>
              <w:t>мезенхімальних</w:t>
            </w:r>
            <w:proofErr w:type="spellEnd"/>
            <w:r w:rsidRPr="00CF1710">
              <w:rPr>
                <w:rFonts w:ascii="Times New Roman" w:hAnsi="Times New Roman" w:cs="Times New Roman"/>
                <w:sz w:val="24"/>
                <w:szCs w:val="24"/>
              </w:rPr>
              <w:t xml:space="preserve"> стовбурових клітин тощо.</w:t>
            </w:r>
          </w:p>
          <w:p w14:paraId="24F70A2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Усіма пільгами, передбаченими Програмою, будуть користуватися як внутрішньо переміщені особи, які отримали в установленому Законом порядку статус, так і ветерани / </w:t>
            </w:r>
            <w:proofErr w:type="spellStart"/>
            <w:r w:rsidRPr="00CF1710">
              <w:rPr>
                <w:rFonts w:ascii="Times New Roman" w:hAnsi="Times New Roman" w:cs="Times New Roman"/>
                <w:sz w:val="24"/>
                <w:szCs w:val="24"/>
              </w:rPr>
              <w:t>ветеранки</w:t>
            </w:r>
            <w:proofErr w:type="spellEnd"/>
            <w:r w:rsidRPr="00CF1710">
              <w:rPr>
                <w:rFonts w:ascii="Times New Roman" w:hAnsi="Times New Roman" w:cs="Times New Roman"/>
                <w:sz w:val="24"/>
                <w:szCs w:val="24"/>
              </w:rPr>
              <w:t xml:space="preserve"> війни з Російською Федерацією.</w:t>
            </w:r>
          </w:p>
          <w:p w14:paraId="344E736F"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Програма також забезпечує доступ до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40AF324E"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 ПЕРЕЛІК ЗАВДАНЬ І ЗАХОДІВ ПРОГРАМИ, РЕЗУЛЬТАТИВНИХ ПОКАЗНИКІВ ПРОГРАМИ</w:t>
            </w:r>
          </w:p>
          <w:p w14:paraId="1C29B108"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Перелік завдань і заходів, результативні показники Програми наведено в додатку "Перелік завдань і заходів міської цільової програми "Підтримка та розвиток галузі охорони здоров'я столиці" на 2024 - 2027 роки".</w:t>
            </w:r>
          </w:p>
          <w:p w14:paraId="06793974"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VII. ІНДИКАТОРИ ПРОГРАМИ</w:t>
            </w:r>
          </w:p>
          <w:p w14:paraId="739DDDCC"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У період дії воєнного стану або стану війни, а також протягом трьох місяців після його завершення органи державної статистики не здійснюють оприлюднення статистичної інформації та поновлять її оприлюднення в повному обсязі після завершення встановленого законом терміну відповідно до Закону України "Про захист інтересів суб'єктів подання звітності та інших документів у період дії воєнного стану або стану війни". Враховуючи зазначене, запланувати окремі індикатори Програми на 2024 - 2027 роки буде можливо після завершення встановленого законодавством терміну.</w:t>
            </w:r>
          </w:p>
          <w:tbl>
            <w:tblPr>
              <w:tblW w:w="0" w:type="auto"/>
              <w:tblInd w:w="115" w:type="dxa"/>
              <w:tblLook w:val="0000" w:firstRow="0" w:lastRow="0" w:firstColumn="0" w:lastColumn="0" w:noHBand="0" w:noVBand="0"/>
            </w:tblPr>
            <w:tblGrid>
              <w:gridCol w:w="1859"/>
              <w:gridCol w:w="1531"/>
              <w:gridCol w:w="572"/>
              <w:gridCol w:w="1061"/>
              <w:gridCol w:w="1061"/>
              <w:gridCol w:w="1061"/>
            </w:tblGrid>
            <w:tr w:rsidR="00CF1710" w:rsidRPr="00CF1710" w14:paraId="13C25346"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40820CB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lastRenderedPageBreak/>
                    <w:t>Показник</w:t>
                  </w:r>
                </w:p>
              </w:tc>
              <w:tc>
                <w:tcPr>
                  <w:tcW w:w="992" w:type="dxa"/>
                  <w:tcBorders>
                    <w:top w:val="outset" w:sz="8" w:space="0" w:color="000000"/>
                    <w:left w:val="outset" w:sz="8" w:space="0" w:color="000000"/>
                    <w:bottom w:val="outset" w:sz="8" w:space="0" w:color="000000"/>
                    <w:right w:val="outset" w:sz="8" w:space="0" w:color="000000"/>
                  </w:tcBorders>
                  <w:vAlign w:val="center"/>
                </w:tcPr>
                <w:p w14:paraId="582F8F17"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Одиниця виміру</w:t>
                  </w:r>
                </w:p>
              </w:tc>
              <w:tc>
                <w:tcPr>
                  <w:tcW w:w="851" w:type="dxa"/>
                  <w:tcBorders>
                    <w:top w:val="outset" w:sz="8" w:space="0" w:color="000000"/>
                    <w:left w:val="outset" w:sz="8" w:space="0" w:color="000000"/>
                    <w:bottom w:val="outset" w:sz="8" w:space="0" w:color="000000"/>
                    <w:right w:val="outset" w:sz="8" w:space="0" w:color="000000"/>
                  </w:tcBorders>
                  <w:vAlign w:val="center"/>
                </w:tcPr>
                <w:p w14:paraId="33915CC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2024 рік</w:t>
                  </w:r>
                </w:p>
              </w:tc>
              <w:tc>
                <w:tcPr>
                  <w:tcW w:w="1275" w:type="dxa"/>
                  <w:tcBorders>
                    <w:top w:val="outset" w:sz="8" w:space="0" w:color="000000"/>
                    <w:left w:val="outset" w:sz="8" w:space="0" w:color="000000"/>
                    <w:bottom w:val="outset" w:sz="8" w:space="0" w:color="000000"/>
                    <w:right w:val="outset" w:sz="8" w:space="0" w:color="000000"/>
                  </w:tcBorders>
                  <w:vAlign w:val="center"/>
                </w:tcPr>
                <w:p w14:paraId="6AA19FC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2025 рік</w:t>
                  </w:r>
                </w:p>
              </w:tc>
              <w:tc>
                <w:tcPr>
                  <w:tcW w:w="1276" w:type="dxa"/>
                  <w:tcBorders>
                    <w:top w:val="outset" w:sz="8" w:space="0" w:color="000000"/>
                    <w:left w:val="outset" w:sz="8" w:space="0" w:color="000000"/>
                    <w:bottom w:val="outset" w:sz="8" w:space="0" w:color="000000"/>
                    <w:right w:val="outset" w:sz="8" w:space="0" w:color="000000"/>
                  </w:tcBorders>
                  <w:vAlign w:val="center"/>
                </w:tcPr>
                <w:p w14:paraId="557A77F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2026 рік</w:t>
                  </w:r>
                </w:p>
              </w:tc>
              <w:tc>
                <w:tcPr>
                  <w:tcW w:w="1276" w:type="dxa"/>
                  <w:tcBorders>
                    <w:top w:val="outset" w:sz="8" w:space="0" w:color="000000"/>
                    <w:left w:val="outset" w:sz="8" w:space="0" w:color="000000"/>
                    <w:bottom w:val="outset" w:sz="8" w:space="0" w:color="000000"/>
                    <w:right w:val="outset" w:sz="8" w:space="0" w:color="000000"/>
                  </w:tcBorders>
                  <w:vAlign w:val="center"/>
                </w:tcPr>
                <w:p w14:paraId="565847A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b/>
                      <w:i/>
                      <w:sz w:val="19"/>
                      <w:szCs w:val="19"/>
                    </w:rPr>
                    <w:t>2027 рік</w:t>
                  </w:r>
                </w:p>
              </w:tc>
            </w:tr>
            <w:tr w:rsidR="00CF1710" w:rsidRPr="00CF1710" w14:paraId="4DD9C3E6"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21016A57"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Очікувана тривалість життя при народженні</w:t>
                  </w:r>
                </w:p>
              </w:tc>
              <w:tc>
                <w:tcPr>
                  <w:tcW w:w="992" w:type="dxa"/>
                  <w:tcBorders>
                    <w:top w:val="outset" w:sz="8" w:space="0" w:color="000000"/>
                    <w:left w:val="outset" w:sz="8" w:space="0" w:color="000000"/>
                    <w:bottom w:val="outset" w:sz="8" w:space="0" w:color="000000"/>
                    <w:right w:val="outset" w:sz="8" w:space="0" w:color="000000"/>
                  </w:tcBorders>
                  <w:vAlign w:val="center"/>
                </w:tcPr>
                <w:p w14:paraId="4E595123"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років</w:t>
                  </w:r>
                </w:p>
              </w:tc>
              <w:tc>
                <w:tcPr>
                  <w:tcW w:w="851" w:type="dxa"/>
                  <w:tcBorders>
                    <w:top w:val="outset" w:sz="8" w:space="0" w:color="000000"/>
                    <w:left w:val="outset" w:sz="8" w:space="0" w:color="000000"/>
                    <w:bottom w:val="outset" w:sz="8" w:space="0" w:color="000000"/>
                    <w:right w:val="outset" w:sz="8" w:space="0" w:color="000000"/>
                  </w:tcBorders>
                  <w:vAlign w:val="center"/>
                </w:tcPr>
                <w:p w14:paraId="538A9B2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65</w:t>
                  </w:r>
                </w:p>
              </w:tc>
              <w:tc>
                <w:tcPr>
                  <w:tcW w:w="1275" w:type="dxa"/>
                  <w:tcBorders>
                    <w:top w:val="outset" w:sz="8" w:space="0" w:color="000000"/>
                    <w:left w:val="outset" w:sz="8" w:space="0" w:color="000000"/>
                    <w:bottom w:val="outset" w:sz="8" w:space="0" w:color="000000"/>
                    <w:right w:val="outset" w:sz="8" w:space="0" w:color="000000"/>
                  </w:tcBorders>
                  <w:vAlign w:val="center"/>
                </w:tcPr>
                <w:p w14:paraId="076E450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2C5A5FE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221D01C6"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зростання</w:t>
                  </w:r>
                </w:p>
              </w:tc>
            </w:tr>
            <w:tr w:rsidR="00CF1710" w:rsidRPr="00CF1710" w14:paraId="1C104640"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363D2685"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Смертність населення</w:t>
                  </w:r>
                </w:p>
              </w:tc>
              <w:tc>
                <w:tcPr>
                  <w:tcW w:w="992" w:type="dxa"/>
                  <w:tcBorders>
                    <w:top w:val="outset" w:sz="8" w:space="0" w:color="000000"/>
                    <w:left w:val="outset" w:sz="8" w:space="0" w:color="000000"/>
                    <w:bottom w:val="outset" w:sz="8" w:space="0" w:color="000000"/>
                    <w:right w:val="outset" w:sz="8" w:space="0" w:color="000000"/>
                  </w:tcBorders>
                  <w:vAlign w:val="center"/>
                </w:tcPr>
                <w:p w14:paraId="62FB9F9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випадків / 1 тис. мешканців / мешканок</w:t>
                  </w:r>
                </w:p>
              </w:tc>
              <w:tc>
                <w:tcPr>
                  <w:tcW w:w="851" w:type="dxa"/>
                  <w:tcBorders>
                    <w:top w:val="outset" w:sz="8" w:space="0" w:color="000000"/>
                    <w:left w:val="outset" w:sz="8" w:space="0" w:color="000000"/>
                    <w:bottom w:val="outset" w:sz="8" w:space="0" w:color="000000"/>
                    <w:right w:val="outset" w:sz="8" w:space="0" w:color="000000"/>
                  </w:tcBorders>
                  <w:vAlign w:val="center"/>
                </w:tcPr>
                <w:p w14:paraId="6A267DE8"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15,5</w:t>
                  </w:r>
                </w:p>
              </w:tc>
              <w:tc>
                <w:tcPr>
                  <w:tcW w:w="1275" w:type="dxa"/>
                  <w:tcBorders>
                    <w:top w:val="outset" w:sz="8" w:space="0" w:color="000000"/>
                    <w:left w:val="outset" w:sz="8" w:space="0" w:color="000000"/>
                    <w:bottom w:val="outset" w:sz="8" w:space="0" w:color="000000"/>
                    <w:right w:val="outset" w:sz="8" w:space="0" w:color="000000"/>
                  </w:tcBorders>
                  <w:vAlign w:val="center"/>
                </w:tcPr>
                <w:p w14:paraId="61B9188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14EDE3E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054DFDD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r>
            <w:tr w:rsidR="00CF1710" w:rsidRPr="00CF1710" w14:paraId="7D3A4CF9"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3763C59D"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Смертність дітей у віці до 5 років</w:t>
                  </w:r>
                </w:p>
              </w:tc>
              <w:tc>
                <w:tcPr>
                  <w:tcW w:w="992" w:type="dxa"/>
                  <w:tcBorders>
                    <w:top w:val="outset" w:sz="8" w:space="0" w:color="000000"/>
                    <w:left w:val="outset" w:sz="8" w:space="0" w:color="000000"/>
                    <w:bottom w:val="outset" w:sz="8" w:space="0" w:color="000000"/>
                    <w:right w:val="outset" w:sz="8" w:space="0" w:color="000000"/>
                  </w:tcBorders>
                  <w:vAlign w:val="center"/>
                </w:tcPr>
                <w:p w14:paraId="09A0F30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 xml:space="preserve">випадків / 1 тис. </w:t>
                  </w:r>
                  <w:proofErr w:type="spellStart"/>
                  <w:r w:rsidRPr="00CF1710">
                    <w:rPr>
                      <w:rFonts w:ascii="Times New Roman" w:hAnsi="Times New Roman" w:cs="Times New Roman"/>
                      <w:sz w:val="19"/>
                      <w:szCs w:val="19"/>
                    </w:rPr>
                    <w:t>живонароджених</w:t>
                  </w:r>
                  <w:proofErr w:type="spellEnd"/>
                </w:p>
              </w:tc>
              <w:tc>
                <w:tcPr>
                  <w:tcW w:w="851" w:type="dxa"/>
                  <w:tcBorders>
                    <w:top w:val="outset" w:sz="8" w:space="0" w:color="000000"/>
                    <w:left w:val="outset" w:sz="8" w:space="0" w:color="000000"/>
                    <w:bottom w:val="outset" w:sz="8" w:space="0" w:color="000000"/>
                    <w:right w:val="outset" w:sz="8" w:space="0" w:color="000000"/>
                  </w:tcBorders>
                  <w:vAlign w:val="center"/>
                </w:tcPr>
                <w:p w14:paraId="7E970E1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6,8</w:t>
                  </w:r>
                </w:p>
              </w:tc>
              <w:tc>
                <w:tcPr>
                  <w:tcW w:w="1275" w:type="dxa"/>
                  <w:tcBorders>
                    <w:top w:val="outset" w:sz="8" w:space="0" w:color="000000"/>
                    <w:left w:val="outset" w:sz="8" w:space="0" w:color="000000"/>
                    <w:bottom w:val="outset" w:sz="8" w:space="0" w:color="000000"/>
                    <w:right w:val="outset" w:sz="8" w:space="0" w:color="000000"/>
                  </w:tcBorders>
                  <w:vAlign w:val="center"/>
                </w:tcPr>
                <w:p w14:paraId="04050A1D"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5061A80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c>
                <w:tcPr>
                  <w:tcW w:w="1276" w:type="dxa"/>
                  <w:tcBorders>
                    <w:top w:val="outset" w:sz="8" w:space="0" w:color="000000"/>
                    <w:left w:val="outset" w:sz="8" w:space="0" w:color="000000"/>
                    <w:bottom w:val="outset" w:sz="8" w:space="0" w:color="000000"/>
                    <w:right w:val="outset" w:sz="8" w:space="0" w:color="000000"/>
                  </w:tcBorders>
                  <w:vAlign w:val="center"/>
                </w:tcPr>
                <w:p w14:paraId="4D77851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тенденція до зменшення</w:t>
                  </w:r>
                </w:p>
              </w:tc>
            </w:tr>
            <w:tr w:rsidR="00CF1710" w:rsidRPr="00CF1710" w14:paraId="4E1997FF"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40A7E970"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Частка закладів охорони здоров'я, що засновані на комунальній власності територіальної громади міста Києва, у яких проведено будівельні роботи та які забезпечені </w:t>
                  </w:r>
                  <w:proofErr w:type="spellStart"/>
                  <w:r w:rsidRPr="00CF1710">
                    <w:rPr>
                      <w:rFonts w:ascii="Times New Roman" w:hAnsi="Times New Roman" w:cs="Times New Roman"/>
                      <w:sz w:val="19"/>
                      <w:szCs w:val="19"/>
                    </w:rPr>
                    <w:t>дороговартісним</w:t>
                  </w:r>
                  <w:proofErr w:type="spellEnd"/>
                  <w:r w:rsidRPr="00CF1710">
                    <w:rPr>
                      <w:rFonts w:ascii="Times New Roman" w:hAnsi="Times New Roman" w:cs="Times New Roman"/>
                      <w:sz w:val="19"/>
                      <w:szCs w:val="19"/>
                    </w:rPr>
                    <w:t xml:space="preserve"> високотехнологічним обладнанням у поточному році, у загальній кількості закладів охорони здоров'я</w:t>
                  </w:r>
                </w:p>
              </w:tc>
              <w:tc>
                <w:tcPr>
                  <w:tcW w:w="992" w:type="dxa"/>
                  <w:tcBorders>
                    <w:top w:val="outset" w:sz="8" w:space="0" w:color="000000"/>
                    <w:left w:val="outset" w:sz="8" w:space="0" w:color="000000"/>
                    <w:bottom w:val="outset" w:sz="8" w:space="0" w:color="000000"/>
                    <w:right w:val="outset" w:sz="8" w:space="0" w:color="000000"/>
                  </w:tcBorders>
                  <w:vAlign w:val="center"/>
                </w:tcPr>
                <w:p w14:paraId="04B346A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851" w:type="dxa"/>
                  <w:tcBorders>
                    <w:top w:val="outset" w:sz="8" w:space="0" w:color="000000"/>
                    <w:left w:val="outset" w:sz="8" w:space="0" w:color="000000"/>
                    <w:bottom w:val="outset" w:sz="8" w:space="0" w:color="000000"/>
                    <w:right w:val="outset" w:sz="8" w:space="0" w:color="000000"/>
                  </w:tcBorders>
                  <w:vAlign w:val="center"/>
                </w:tcPr>
                <w:p w14:paraId="6CA95944"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68</w:t>
                  </w:r>
                </w:p>
              </w:tc>
              <w:tc>
                <w:tcPr>
                  <w:tcW w:w="1275" w:type="dxa"/>
                  <w:tcBorders>
                    <w:top w:val="outset" w:sz="8" w:space="0" w:color="000000"/>
                    <w:left w:val="outset" w:sz="8" w:space="0" w:color="000000"/>
                    <w:bottom w:val="outset" w:sz="8" w:space="0" w:color="000000"/>
                    <w:right w:val="outset" w:sz="8" w:space="0" w:color="000000"/>
                  </w:tcBorders>
                  <w:vAlign w:val="center"/>
                </w:tcPr>
                <w:p w14:paraId="37D26A2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16</w:t>
                  </w:r>
                </w:p>
              </w:tc>
              <w:tc>
                <w:tcPr>
                  <w:tcW w:w="1276" w:type="dxa"/>
                  <w:tcBorders>
                    <w:top w:val="outset" w:sz="8" w:space="0" w:color="000000"/>
                    <w:left w:val="outset" w:sz="8" w:space="0" w:color="000000"/>
                    <w:bottom w:val="outset" w:sz="8" w:space="0" w:color="000000"/>
                    <w:right w:val="outset" w:sz="8" w:space="0" w:color="000000"/>
                  </w:tcBorders>
                  <w:vAlign w:val="center"/>
                </w:tcPr>
                <w:p w14:paraId="1E4056E2"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21</w:t>
                  </w:r>
                </w:p>
              </w:tc>
              <w:tc>
                <w:tcPr>
                  <w:tcW w:w="1276" w:type="dxa"/>
                  <w:tcBorders>
                    <w:top w:val="outset" w:sz="8" w:space="0" w:color="000000"/>
                    <w:left w:val="outset" w:sz="8" w:space="0" w:color="000000"/>
                    <w:bottom w:val="outset" w:sz="8" w:space="0" w:color="000000"/>
                    <w:right w:val="outset" w:sz="8" w:space="0" w:color="000000"/>
                  </w:tcBorders>
                  <w:vAlign w:val="center"/>
                </w:tcPr>
                <w:p w14:paraId="2551CC5B"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27</w:t>
                  </w:r>
                </w:p>
              </w:tc>
            </w:tr>
            <w:tr w:rsidR="00CF1710" w:rsidRPr="00CF1710" w14:paraId="6FF1EF5C"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46E902C7"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 xml:space="preserve">Співвідношення видатків бюджету міста Києва на підтримку й розвиток комунальних підприємств, установ та організацій галузі </w:t>
                  </w:r>
                  <w:r w:rsidRPr="00CF1710">
                    <w:rPr>
                      <w:rFonts w:ascii="Times New Roman" w:hAnsi="Times New Roman" w:cs="Times New Roman"/>
                      <w:sz w:val="19"/>
                      <w:szCs w:val="19"/>
                    </w:rPr>
                    <w:lastRenderedPageBreak/>
                    <w:t>охорони здоров'я до доходів, отриманих за програмою медичних гарантій</w:t>
                  </w:r>
                </w:p>
              </w:tc>
              <w:tc>
                <w:tcPr>
                  <w:tcW w:w="992" w:type="dxa"/>
                  <w:tcBorders>
                    <w:top w:val="outset" w:sz="8" w:space="0" w:color="000000"/>
                    <w:left w:val="outset" w:sz="8" w:space="0" w:color="000000"/>
                    <w:bottom w:val="outset" w:sz="8" w:space="0" w:color="000000"/>
                    <w:right w:val="outset" w:sz="8" w:space="0" w:color="000000"/>
                  </w:tcBorders>
                  <w:vAlign w:val="center"/>
                </w:tcPr>
                <w:p w14:paraId="741C70C5"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lastRenderedPageBreak/>
                    <w:t>%</w:t>
                  </w:r>
                </w:p>
              </w:tc>
              <w:tc>
                <w:tcPr>
                  <w:tcW w:w="851" w:type="dxa"/>
                  <w:tcBorders>
                    <w:top w:val="outset" w:sz="8" w:space="0" w:color="000000"/>
                    <w:left w:val="outset" w:sz="8" w:space="0" w:color="000000"/>
                    <w:bottom w:val="outset" w:sz="8" w:space="0" w:color="000000"/>
                    <w:right w:val="outset" w:sz="8" w:space="0" w:color="000000"/>
                  </w:tcBorders>
                  <w:vAlign w:val="center"/>
                </w:tcPr>
                <w:p w14:paraId="021F25A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70</w:t>
                  </w:r>
                </w:p>
              </w:tc>
              <w:tc>
                <w:tcPr>
                  <w:tcW w:w="1275" w:type="dxa"/>
                  <w:tcBorders>
                    <w:top w:val="outset" w:sz="8" w:space="0" w:color="000000"/>
                    <w:left w:val="outset" w:sz="8" w:space="0" w:color="000000"/>
                    <w:bottom w:val="outset" w:sz="8" w:space="0" w:color="000000"/>
                    <w:right w:val="outset" w:sz="8" w:space="0" w:color="000000"/>
                  </w:tcBorders>
                  <w:vAlign w:val="center"/>
                </w:tcPr>
                <w:p w14:paraId="7FF4940A"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50</w:t>
                  </w:r>
                </w:p>
              </w:tc>
              <w:tc>
                <w:tcPr>
                  <w:tcW w:w="1276" w:type="dxa"/>
                  <w:tcBorders>
                    <w:top w:val="outset" w:sz="8" w:space="0" w:color="000000"/>
                    <w:left w:val="outset" w:sz="8" w:space="0" w:color="000000"/>
                    <w:bottom w:val="outset" w:sz="8" w:space="0" w:color="000000"/>
                    <w:right w:val="outset" w:sz="8" w:space="0" w:color="000000"/>
                  </w:tcBorders>
                  <w:vAlign w:val="center"/>
                </w:tcPr>
                <w:p w14:paraId="64E0470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40</w:t>
                  </w:r>
                </w:p>
              </w:tc>
              <w:tc>
                <w:tcPr>
                  <w:tcW w:w="1276" w:type="dxa"/>
                  <w:tcBorders>
                    <w:top w:val="outset" w:sz="8" w:space="0" w:color="000000"/>
                    <w:left w:val="outset" w:sz="8" w:space="0" w:color="000000"/>
                    <w:bottom w:val="outset" w:sz="8" w:space="0" w:color="000000"/>
                    <w:right w:val="outset" w:sz="8" w:space="0" w:color="000000"/>
                  </w:tcBorders>
                  <w:vAlign w:val="center"/>
                </w:tcPr>
                <w:p w14:paraId="0B12EBEF"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30</w:t>
                  </w:r>
                </w:p>
              </w:tc>
            </w:tr>
            <w:tr w:rsidR="00CF1710" w:rsidRPr="00CF1710" w14:paraId="26AE9940" w14:textId="77777777" w:rsidTr="00A84088">
              <w:trPr>
                <w:trHeight w:val="45"/>
              </w:trPr>
              <w:tc>
                <w:tcPr>
                  <w:tcW w:w="1411" w:type="dxa"/>
                  <w:tcBorders>
                    <w:top w:val="outset" w:sz="8" w:space="0" w:color="000000"/>
                    <w:left w:val="outset" w:sz="8" w:space="0" w:color="000000"/>
                    <w:bottom w:val="outset" w:sz="8" w:space="0" w:color="000000"/>
                    <w:right w:val="outset" w:sz="8" w:space="0" w:color="000000"/>
                  </w:tcBorders>
                  <w:vAlign w:val="center"/>
                </w:tcPr>
                <w:p w14:paraId="2F789DD3" w14:textId="77777777" w:rsidR="00CF1710" w:rsidRPr="00CF1710" w:rsidRDefault="00CF1710" w:rsidP="00CF1710">
                  <w:pPr>
                    <w:widowControl w:val="0"/>
                    <w:spacing w:after="75"/>
                    <w:rPr>
                      <w:rFonts w:ascii="Times New Roman" w:hAnsi="Times New Roman" w:cs="Times New Roman"/>
                      <w:sz w:val="19"/>
                      <w:szCs w:val="19"/>
                    </w:rPr>
                  </w:pPr>
                  <w:r w:rsidRPr="00CF1710">
                    <w:rPr>
                      <w:rFonts w:ascii="Times New Roman" w:hAnsi="Times New Roman" w:cs="Times New Roman"/>
                      <w:sz w:val="19"/>
                      <w:szCs w:val="19"/>
                    </w:rPr>
                    <w:t>Частка підприємств, установ та організацій галузі охорони здоров'я, охоплених інформаційно-аналітичною системою збирання (тримання) медико-статистичної звітності, у загальній кількості підприємств, установ та організацій галузі охорони здоров'я, які розташовані на території</w:t>
                  </w:r>
                  <w:r w:rsidRPr="00CF1710">
                    <w:rPr>
                      <w:rFonts w:ascii="Times New Roman" w:hAnsi="Times New Roman" w:cs="Times New Roman"/>
                      <w:sz w:val="19"/>
                      <w:szCs w:val="19"/>
                    </w:rPr>
                    <w:br/>
                    <w:t>міста Києва</w:t>
                  </w:r>
                </w:p>
              </w:tc>
              <w:tc>
                <w:tcPr>
                  <w:tcW w:w="992" w:type="dxa"/>
                  <w:tcBorders>
                    <w:top w:val="outset" w:sz="8" w:space="0" w:color="000000"/>
                    <w:left w:val="outset" w:sz="8" w:space="0" w:color="000000"/>
                    <w:bottom w:val="outset" w:sz="8" w:space="0" w:color="000000"/>
                    <w:right w:val="outset" w:sz="8" w:space="0" w:color="000000"/>
                  </w:tcBorders>
                  <w:vAlign w:val="center"/>
                </w:tcPr>
                <w:p w14:paraId="414B75C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w:t>
                  </w:r>
                </w:p>
              </w:tc>
              <w:tc>
                <w:tcPr>
                  <w:tcW w:w="851" w:type="dxa"/>
                  <w:tcBorders>
                    <w:top w:val="outset" w:sz="8" w:space="0" w:color="000000"/>
                    <w:left w:val="outset" w:sz="8" w:space="0" w:color="000000"/>
                    <w:bottom w:val="outset" w:sz="8" w:space="0" w:color="000000"/>
                    <w:right w:val="outset" w:sz="8" w:space="0" w:color="000000"/>
                  </w:tcBorders>
                  <w:vAlign w:val="center"/>
                </w:tcPr>
                <w:p w14:paraId="06F324A0"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20</w:t>
                  </w:r>
                </w:p>
              </w:tc>
              <w:tc>
                <w:tcPr>
                  <w:tcW w:w="1275" w:type="dxa"/>
                  <w:tcBorders>
                    <w:top w:val="outset" w:sz="8" w:space="0" w:color="000000"/>
                    <w:left w:val="outset" w:sz="8" w:space="0" w:color="000000"/>
                    <w:bottom w:val="outset" w:sz="8" w:space="0" w:color="000000"/>
                    <w:right w:val="outset" w:sz="8" w:space="0" w:color="000000"/>
                  </w:tcBorders>
                  <w:vAlign w:val="center"/>
                </w:tcPr>
                <w:p w14:paraId="38D0B7DC"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60</w:t>
                  </w:r>
                </w:p>
              </w:tc>
              <w:tc>
                <w:tcPr>
                  <w:tcW w:w="1276" w:type="dxa"/>
                  <w:tcBorders>
                    <w:top w:val="outset" w:sz="8" w:space="0" w:color="000000"/>
                    <w:left w:val="outset" w:sz="8" w:space="0" w:color="000000"/>
                    <w:bottom w:val="outset" w:sz="8" w:space="0" w:color="000000"/>
                    <w:right w:val="outset" w:sz="8" w:space="0" w:color="000000"/>
                  </w:tcBorders>
                  <w:vAlign w:val="center"/>
                </w:tcPr>
                <w:p w14:paraId="3A2A536E"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70</w:t>
                  </w:r>
                </w:p>
              </w:tc>
              <w:tc>
                <w:tcPr>
                  <w:tcW w:w="1276" w:type="dxa"/>
                  <w:tcBorders>
                    <w:top w:val="outset" w:sz="8" w:space="0" w:color="000000"/>
                    <w:left w:val="outset" w:sz="8" w:space="0" w:color="000000"/>
                    <w:bottom w:val="outset" w:sz="8" w:space="0" w:color="000000"/>
                    <w:right w:val="outset" w:sz="8" w:space="0" w:color="000000"/>
                  </w:tcBorders>
                  <w:vAlign w:val="center"/>
                </w:tcPr>
                <w:p w14:paraId="04CF7B01" w14:textId="77777777" w:rsidR="00CF1710" w:rsidRPr="00CF1710" w:rsidRDefault="00CF1710" w:rsidP="00CF1710">
                  <w:pPr>
                    <w:widowControl w:val="0"/>
                    <w:spacing w:after="75"/>
                    <w:jc w:val="center"/>
                    <w:rPr>
                      <w:rFonts w:ascii="Times New Roman" w:hAnsi="Times New Roman" w:cs="Times New Roman"/>
                      <w:sz w:val="19"/>
                      <w:szCs w:val="19"/>
                    </w:rPr>
                  </w:pPr>
                  <w:r w:rsidRPr="00CF1710">
                    <w:rPr>
                      <w:rFonts w:ascii="Times New Roman" w:hAnsi="Times New Roman" w:cs="Times New Roman"/>
                      <w:sz w:val="19"/>
                      <w:szCs w:val="19"/>
                    </w:rPr>
                    <w:t>Більше 80</w:t>
                  </w:r>
                </w:p>
              </w:tc>
            </w:tr>
          </w:tbl>
          <w:p w14:paraId="38540B6C" w14:textId="77777777" w:rsidR="00CF1710" w:rsidRPr="00CF1710" w:rsidRDefault="00CF1710" w:rsidP="00CF1710">
            <w:pPr>
              <w:spacing w:after="75"/>
              <w:ind w:firstLine="240"/>
              <w:rPr>
                <w:rFonts w:ascii="Times New Roman" w:hAnsi="Times New Roman" w:cs="Times New Roman"/>
                <w:sz w:val="16"/>
                <w:szCs w:val="16"/>
              </w:rPr>
            </w:pPr>
            <w:r w:rsidRPr="00CF1710">
              <w:rPr>
                <w:rFonts w:ascii="Times New Roman" w:hAnsi="Times New Roman" w:cs="Times New Roman"/>
                <w:sz w:val="16"/>
                <w:szCs w:val="16"/>
              </w:rPr>
              <w:t>* Прогнозовані показники розраховані з урахуванням впливу на демографічні процеси поширення на території України та міста Києва зокрема, гострої респіраторної хвороби COVID-19, спричиненої коронавірусом SARS-CoV-2, та воєнного стану у зв'язку зі збройною агресією Російської Федерації проти України.</w:t>
            </w:r>
          </w:p>
          <w:p w14:paraId="0B46EE4D" w14:textId="77777777" w:rsidR="00CF1710" w:rsidRPr="00CF1710" w:rsidRDefault="00CF1710" w:rsidP="00CF1710">
            <w:pPr>
              <w:pStyle w:val="3"/>
              <w:spacing w:after="0"/>
              <w:jc w:val="center"/>
              <w:rPr>
                <w:rFonts w:ascii="Times New Roman" w:hAnsi="Times New Roman" w:cs="Times New Roman"/>
                <w:color w:val="auto"/>
                <w:sz w:val="24"/>
                <w:szCs w:val="24"/>
              </w:rPr>
            </w:pPr>
            <w:r w:rsidRPr="00CF1710">
              <w:rPr>
                <w:rFonts w:ascii="Times New Roman" w:hAnsi="Times New Roman" w:cs="Times New Roman"/>
                <w:color w:val="auto"/>
                <w:sz w:val="24"/>
                <w:szCs w:val="24"/>
              </w:rPr>
              <w:t>VIII. КООРДИНАЦІЯ ТА КОНТРОЛЬ ЗА ХОДОМ ВИКОНАННЯ ПРОГРАМИ</w:t>
            </w:r>
          </w:p>
          <w:p w14:paraId="3B30BF10" w14:textId="77777777" w:rsidR="00CF1710" w:rsidRPr="00CF1710" w:rsidRDefault="00CF1710" w:rsidP="00CF1710">
            <w:pPr>
              <w:spacing w:after="0"/>
              <w:ind w:firstLine="240"/>
              <w:jc w:val="both"/>
              <w:rPr>
                <w:rFonts w:ascii="Times New Roman" w:hAnsi="Times New Roman" w:cs="Times New Roman"/>
                <w:sz w:val="24"/>
                <w:szCs w:val="24"/>
              </w:rPr>
            </w:pPr>
            <w:r w:rsidRPr="00CF1710">
              <w:rPr>
                <w:rFonts w:ascii="Times New Roman" w:hAnsi="Times New Roman" w:cs="Times New Roman"/>
                <w:sz w:val="24"/>
                <w:szCs w:val="24"/>
              </w:rPr>
              <w:t>Координацію та контроль за ходом виконання Програми здійснює заступник голови Київської міської державної адміністрації, який згідно з розподілом обов'язків забезпечує здійснення повноважень виконавчого органу Київської міської ради (Київської міської державної адміністрації) у сфері охорони здоров'я.</w:t>
            </w:r>
          </w:p>
          <w:p w14:paraId="1C78F10C" w14:textId="77777777" w:rsidR="003C0D53"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Безпосередній контроль за виконанням завдань і заходів Програми здійснює Департамент охорони здоров'я міста Києва, а за цільовим та ефективним використанням коштів, товарів тощо - розпорядники або</w:t>
            </w:r>
          </w:p>
          <w:p w14:paraId="581EA067" w14:textId="4E2C81B6"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 xml:space="preserve"> одержувачі бюджетних коштів, які є співвиконавцями заходів Програми і яким передбачені бюджетні призначення на виконання заходів Програми або поставлені лікарські засоби, медичні вироби, лікувальне харчування тощо.</w:t>
            </w:r>
          </w:p>
          <w:p w14:paraId="29FC7639"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У разі неможливості або ризику невикористання лікарських засобів, медичних виробів, лікувального харчування та інших товарів, отриманих у межах реалізації заходів Програми, до закінчення строку їх придатності, співвиконавець заходів Програми зобов'язаний не пізніше ніж за шість місяців до закінчення строку придатності письмово поінформувати Департамент охорони здоров'я міста Києва та подати обґрунтовані пропозиції щодо їх подальшого використання, у тому числі шляхом перерозподілу.</w:t>
            </w:r>
          </w:p>
          <w:p w14:paraId="5550244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за результатами розгляду поданих пропозицій приймає рішення щодо подальшого використання зазначених товарів, у тому числі їх перерозподілу між співвиконавцями заходів Програми або спрямування на реалізацію інших заходів Програми.</w:t>
            </w:r>
          </w:p>
          <w:p w14:paraId="7E8C7AC6"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Співвиконавці заходів Програми, зазначені в графі "Виконавці заходу" розділу "Перелік завдань і заходів міської цільової програми "Підтримка та розвиток галузі охорони здоров'я столиці" на 2024 - 2027 роки", щоквартально до 15 квітня, 15 липня, 15 жовтня звітного року, річний звіт - до 01 лютого року, що настає за звітним періодом, надають до Департаменту охорони здоров'я міста Києва узагальнені відомості про результати виконання Програми з визначенням динаміки цільових показників.</w:t>
            </w:r>
          </w:p>
          <w:p w14:paraId="6E4F0CF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надає Київській міській раді, Департаменту фінансів виконавчого органу Київської міської ради (Київської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w:t>
            </w:r>
          </w:p>
          <w:p w14:paraId="69B1567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квартальні звіти - до 01 травня, 01 серпня, 01 листопада звітного року;</w:t>
            </w:r>
          </w:p>
          <w:p w14:paraId="534FF5D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lastRenderedPageBreak/>
              <w:t>річний звіт - до 01 березня року, наступного за звітним;</w:t>
            </w:r>
          </w:p>
          <w:p w14:paraId="3D98142C"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заключний звіт та уточнені річні звіти (у разі потреби) - до 01 квітня року, наступного за звітним.</w:t>
            </w:r>
          </w:p>
          <w:p w14:paraId="0E4AC39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 урахуванням реалізації заходів Програми та виділених у кожному поточному році фінансових ресурсів співвиконавці Програми надають свої пропозиції на наступний рік щодо обсягів фінансування з обґрунтуванням до Департамент охорони здоров'я міста Києва.</w:t>
            </w:r>
          </w:p>
          <w:p w14:paraId="653F1987"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Департамент охорони здоров'я міста Києва щороку здійснює обґрунтовану оцінку результатів виконання Програми та, у разі потреби, розробляє пропозиції щодо доцільності продовження тих чи інших заходів, включення додаткових заходів і завдань, уточнення результативних показників та індикаторів Програми, обсягів і джерел фінансування, переліку співвиконавців, строків виконання Програми та окремих її завдань і заходів тощо.</w:t>
            </w:r>
          </w:p>
          <w:p w14:paraId="40C3326D" w14:textId="77777777" w:rsidR="00CF1710" w:rsidRP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 xml:space="preserve">Департамент охорони здоров'я міста Києва в установлені терміни розміщує на Єдиному </w:t>
            </w:r>
            <w:proofErr w:type="spellStart"/>
            <w:r w:rsidRPr="00CF1710">
              <w:rPr>
                <w:rFonts w:ascii="Times New Roman" w:hAnsi="Times New Roman" w:cs="Times New Roman"/>
                <w:sz w:val="24"/>
                <w:szCs w:val="24"/>
              </w:rPr>
              <w:t>вебпорталі</w:t>
            </w:r>
            <w:proofErr w:type="spellEnd"/>
            <w:r w:rsidRPr="00CF1710">
              <w:rPr>
                <w:rFonts w:ascii="Times New Roman" w:hAnsi="Times New Roman" w:cs="Times New Roman"/>
                <w:sz w:val="24"/>
                <w:szCs w:val="24"/>
              </w:rPr>
              <w:t xml:space="preserve"> територіальної громади міста Києва річний (квартальний) звіт та заключний звіт про результати виконання Програми.</w:t>
            </w:r>
          </w:p>
          <w:p w14:paraId="09A345A0" w14:textId="77777777" w:rsidR="00CF1710" w:rsidRDefault="00CF1710" w:rsidP="00CF1710">
            <w:pPr>
              <w:spacing w:after="75"/>
              <w:ind w:firstLine="240"/>
              <w:jc w:val="both"/>
              <w:rPr>
                <w:rFonts w:ascii="Times New Roman" w:hAnsi="Times New Roman" w:cs="Times New Roman"/>
                <w:sz w:val="24"/>
                <w:szCs w:val="24"/>
              </w:rPr>
            </w:pPr>
            <w:r w:rsidRPr="00CF1710">
              <w:rPr>
                <w:rFonts w:ascii="Times New Roman" w:hAnsi="Times New Roman" w:cs="Times New Roman"/>
                <w:sz w:val="24"/>
                <w:szCs w:val="24"/>
              </w:rPr>
              <w:t>За ініціативою Київської міської ради, виконавчого органу Київської міської ради (Київської міської державної адміністрації), Департаменту охорони здоров'я міста Києва або головного розпорядника коштів Програми, розгляд проміжного звіту про хід виконання Програми, ефективність реалізації її завдань і заходів, досягнення проміжних цілей та ефективність використання коштів може розглядатися на сесіях Київської міської ради і засіданнях відповідних постійних комісій Київської міської ради протягом року в разі виникнення потреби.</w:t>
            </w:r>
          </w:p>
          <w:p w14:paraId="3B390743" w14:textId="77777777" w:rsidR="003C0D53" w:rsidRDefault="003C0D53" w:rsidP="00CF1710">
            <w:pPr>
              <w:spacing w:after="75"/>
              <w:ind w:firstLine="240"/>
              <w:jc w:val="both"/>
              <w:rPr>
                <w:rFonts w:ascii="Times New Roman" w:hAnsi="Times New Roman" w:cs="Times New Roman"/>
                <w:sz w:val="24"/>
                <w:szCs w:val="24"/>
              </w:rPr>
            </w:pPr>
          </w:p>
          <w:p w14:paraId="1EB0301E" w14:textId="70B45230" w:rsidR="003C0D53" w:rsidRPr="003C0D53" w:rsidRDefault="003C0D53" w:rsidP="003C0D53">
            <w:pPr>
              <w:jc w:val="center"/>
              <w:rPr>
                <w:rFonts w:ascii="Times New Roman" w:hAnsi="Times New Roman" w:cs="Times New Roman"/>
                <w:sz w:val="24"/>
                <w:szCs w:val="24"/>
              </w:rPr>
            </w:pPr>
            <w:r w:rsidRPr="003C0D53">
              <w:rPr>
                <w:rFonts w:ascii="Times New Roman" w:hAnsi="Times New Roman" w:cs="Times New Roman"/>
                <w:sz w:val="24"/>
                <w:szCs w:val="24"/>
              </w:rPr>
              <w:t xml:space="preserve">Київський міський голова         </w:t>
            </w:r>
            <w:r>
              <w:rPr>
                <w:rFonts w:ascii="Times New Roman" w:hAnsi="Times New Roman" w:cs="Times New Roman"/>
                <w:sz w:val="24"/>
                <w:szCs w:val="24"/>
              </w:rPr>
              <w:t xml:space="preserve">      </w:t>
            </w:r>
            <w:r w:rsidRPr="003C0D53">
              <w:rPr>
                <w:rFonts w:ascii="Times New Roman" w:hAnsi="Times New Roman" w:cs="Times New Roman"/>
                <w:sz w:val="24"/>
                <w:szCs w:val="24"/>
              </w:rPr>
              <w:t xml:space="preserve">             Віталій КЛИЧКО</w:t>
            </w:r>
          </w:p>
          <w:p w14:paraId="6BE820D3" w14:textId="1B21133E" w:rsidR="003C0D53" w:rsidRPr="00CF1710" w:rsidRDefault="003C0D53" w:rsidP="00CF1710">
            <w:pPr>
              <w:spacing w:after="75"/>
              <w:ind w:firstLine="240"/>
              <w:jc w:val="both"/>
              <w:rPr>
                <w:rFonts w:ascii="Times New Roman" w:hAnsi="Times New Roman" w:cs="Times New Roman"/>
                <w:color w:val="000000"/>
                <w:sz w:val="32"/>
              </w:rPr>
            </w:pPr>
          </w:p>
        </w:tc>
      </w:tr>
    </w:tbl>
    <w:p w14:paraId="65330E53" w14:textId="2D4EDC2D" w:rsidR="004613B3" w:rsidRPr="004613B3" w:rsidRDefault="004613B3" w:rsidP="003C0D53">
      <w:pPr>
        <w:rPr>
          <w:rFonts w:ascii="Times New Roman" w:hAnsi="Times New Roman" w:cs="Times New Roman"/>
          <w:sz w:val="28"/>
          <w:szCs w:val="28"/>
        </w:rPr>
      </w:pPr>
    </w:p>
    <w:sectPr w:rsidR="004613B3" w:rsidRPr="004613B3" w:rsidSect="008D42F0">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963F12"/>
    <w:multiLevelType w:val="hybridMultilevel"/>
    <w:tmpl w:val="8E249B2E"/>
    <w:lvl w:ilvl="0" w:tplc="3B720086">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2F0"/>
    <w:rsid w:val="001C4D21"/>
    <w:rsid w:val="003245CA"/>
    <w:rsid w:val="003275CE"/>
    <w:rsid w:val="003C0D53"/>
    <w:rsid w:val="004613B3"/>
    <w:rsid w:val="005B6859"/>
    <w:rsid w:val="00662FF8"/>
    <w:rsid w:val="00702EAC"/>
    <w:rsid w:val="00770D03"/>
    <w:rsid w:val="008D42F0"/>
    <w:rsid w:val="009B28AA"/>
    <w:rsid w:val="00A763DD"/>
    <w:rsid w:val="00B46E47"/>
    <w:rsid w:val="00CF1710"/>
    <w:rsid w:val="00D27BC5"/>
    <w:rsid w:val="00E24B50"/>
    <w:rsid w:val="00EC6C50"/>
    <w:rsid w:val="00EE5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59E4"/>
  <w15:chartTrackingRefBased/>
  <w15:docId w15:val="{B6AF0538-B648-41C0-9429-6672E58C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3">
    <w:name w:val="heading 3"/>
    <w:basedOn w:val="a"/>
    <w:next w:val="a"/>
    <w:link w:val="30"/>
    <w:uiPriority w:val="9"/>
    <w:unhideWhenUsed/>
    <w:qFormat/>
    <w:rsid w:val="009B28AA"/>
    <w:pPr>
      <w:keepNext/>
      <w:keepLines/>
      <w:spacing w:before="200" w:after="200" w:line="276" w:lineRule="auto"/>
      <w:outlineLvl w:val="2"/>
    </w:pPr>
    <w:rPr>
      <w:rFonts w:asciiTheme="majorHAnsi" w:eastAsiaTheme="majorEastAsia" w:hAnsiTheme="majorHAnsi" w:cstheme="majorBidi"/>
      <w:b/>
      <w:bCs/>
      <w:color w:val="4472C4" w:themeColor="accent1"/>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B28AA"/>
    <w:rPr>
      <w:rFonts w:asciiTheme="majorHAnsi" w:eastAsiaTheme="majorEastAsia" w:hAnsiTheme="majorHAnsi" w:cstheme="majorBidi"/>
      <w:b/>
      <w:bCs/>
      <w:color w:val="4472C4" w:themeColor="accent1"/>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68911</Words>
  <Characters>39280</Characters>
  <Application>Microsoft Office Word</Application>
  <DocSecurity>0</DocSecurity>
  <Lines>327</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2026-09-04T10:03:00Z</dcterms:created>
  <dcterms:modified xsi:type="dcterms:W3CDTF">2026-09-04T10:03:00Z</dcterms:modified>
</cp:coreProperties>
</file>