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535" w:rsidRDefault="00FB0535" w:rsidP="00FB0535">
      <w:pPr>
        <w:tabs>
          <w:tab w:val="left" w:pos="5445"/>
        </w:tabs>
        <w:suppressAutoHyphens/>
        <w:spacing w:after="200" w:line="276" w:lineRule="auto"/>
        <w:ind w:firstLine="567"/>
        <w:rPr>
          <w:rFonts w:ascii="Times New Roman" w:eastAsia="Times New Roman" w:hAnsi="Times New Roman" w:cs="Times New Roman"/>
          <w:b/>
          <w:bCs/>
          <w:spacing w:val="20"/>
          <w:sz w:val="48"/>
          <w:szCs w:val="48"/>
          <w:lang w:eastAsia="ru-RU"/>
        </w:rPr>
      </w:pPr>
    </w:p>
    <w:p w:rsidR="00FB0535" w:rsidRPr="00FB0535" w:rsidRDefault="00FB053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 xml:space="preserve">Пояснювальна записка </w:t>
      </w:r>
    </w:p>
    <w:p w:rsidR="00FB0535" w:rsidRPr="00FB0535" w:rsidRDefault="00FB053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 xml:space="preserve">до проєкту рішення Київської міської ради </w:t>
      </w:r>
      <w:r w:rsidRPr="00FB0535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eastAsia="uk-UA" w:bidi="uk-UA"/>
        </w:rPr>
        <w:t>«</w:t>
      </w:r>
      <w:r w:rsidRPr="00FB0535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uk-UA" w:bidi="uk-UA"/>
        </w:rPr>
        <w:t xml:space="preserve">Про внесення змін у додаток </w:t>
      </w:r>
      <w:r w:rsidRPr="00FB0535">
        <w:rPr>
          <w:rFonts w:ascii="Times New Roman" w:eastAsia="Calibri" w:hAnsi="Times New Roman" w:cs="Times New Roman"/>
          <w:b/>
          <w:color w:val="00000A"/>
          <w:sz w:val="28"/>
          <w:szCs w:val="28"/>
        </w:rPr>
        <w:t>до рішення Київської міської ради  від 14 грудня 2023 року  № 7561/7602 «Про затвердження плану діяльності Київської міської ради з підготовки проєктів регуляторних актів на 2024 рік»</w:t>
      </w:r>
    </w:p>
    <w:p w:rsidR="00FB0535" w:rsidRPr="00FB0535" w:rsidRDefault="00FB0535" w:rsidP="00FB053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1. Обґрунтування необхідності прийняття рішення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 xml:space="preserve">Законодавством України про державну регуляторну політику визначено основні правові та організаційні засади її реалізації у сфері господарської діяльності. 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Норми статті 32 Закону України  «Про засади державної регуляторної політики у сфері господарської діяльності» встановлюють особливості планування діяльності органів та посадових осіб місцевого самоврядування з підготовки проєктів регуляторних актів.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Відповідно до положень вказаної статті Закону передбачено, що планування діяльності сільських, селищних, міських, районних у містах та обласних рад з підготовки проєктів регуляторних актів здійснюється в рамках підготовки та затвердження планів роботи відповідних рад у порядку, встановленому Законом України «Про місцеве самоврядування в Україні» та регламентами відповідних рад з урахуванням частин третьої та четвертої статті 7 Закону України «Про засади державної регуляторної політики у сфері господарської діяльності».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2. Мета і шляхи її досягнення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Метою прийняття рішення є планування діяльності Київської міської ради з підготовки проєктів регуляторних актів на 2024 рік для забезпечення здійснення державної регуляторної політики у м. Києві.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3. Правові аспекти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Проєкт рішення Київради розроблено відповідно до Законів України «Про місцеве самоврядування в Україні», «Про засади державної регуляторної політики  у сфері господарської діяльності».</w:t>
      </w:r>
    </w:p>
    <w:p w:rsidR="00EE4555" w:rsidRDefault="00EE4555" w:rsidP="00EE455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EE4555" w:rsidRDefault="00EE4555" w:rsidP="00EE455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  <w:r w:rsidRPr="00EE455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 xml:space="preserve">4. Відповідність проєкту рішення Закону України «Про доступ до публічної інформації» </w:t>
      </w:r>
    </w:p>
    <w:p w:rsidR="00EE4555" w:rsidRPr="00EE4555" w:rsidRDefault="00EE4555" w:rsidP="00EE455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</w:p>
    <w:p w:rsid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EE4555" w:rsidRDefault="00EE455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3A31B9" w:rsidRDefault="003A31B9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EE4555" w:rsidRDefault="00EE4555" w:rsidP="00EE455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  <w:r w:rsidRPr="00EE455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lastRenderedPageBreak/>
        <w:t>5. Інформація про дотримання прав і соціальної захищеності осіб з інвалідністю</w:t>
      </w:r>
    </w:p>
    <w:p w:rsidR="003A31B9" w:rsidRPr="00EE4555" w:rsidRDefault="003A31B9" w:rsidP="00EE455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EE455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6</w:t>
      </w:r>
      <w:r w:rsidR="00FB0535"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. Фінансово-економічне обґрунтування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Прийняття проєкту рішення не потребує матеріальних та інших витрат.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EE455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7</w:t>
      </w:r>
      <w:r w:rsidR="00FB0535"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. Позиція заінтересованих органів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Проєкт рішення не зачіпає інтересів інших органів.</w:t>
      </w:r>
    </w:p>
    <w:p w:rsidR="00FB0535" w:rsidRPr="00FB0535" w:rsidRDefault="00FB0535" w:rsidP="00FB0535">
      <w:pPr>
        <w:suppressAutoHyphens/>
        <w:spacing w:after="0" w:line="240" w:lineRule="auto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EE455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8</w:t>
      </w:r>
      <w:r w:rsidR="00FB0535"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. Регіональний аспект.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Проєкт рішення не стосується питання розвитку адміністративно-територіальної одиниці.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EE455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9</w:t>
      </w:r>
      <w:r w:rsidR="00FB0535"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. Громадське обговорення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Проєкт рішення не потребує громадського обговорення.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EE455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10</w:t>
      </w:r>
      <w:r w:rsidR="00FB0535"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. Прогноз результатів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Прийняття проєкту рішення дозволить спрогнозувати та запланувати на 2024 рік кількість проєктів регуляторних актів та відповідних доповнень до діючих нормативно-правових актів, які будуть вноситись на розгляд Київської міської ради, як регуляторного органу.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Default="00EE455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11</w:t>
      </w:r>
      <w:r w:rsidR="00FB0535"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 xml:space="preserve"> Прізвище або назва с</w:t>
      </w:r>
      <w:r w:rsidR="00FB0535" w:rsidRPr="00FB0535"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уб’єкт подання</w:t>
      </w:r>
      <w:r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  <w:t>, прізвище, посада, контактні дані доповідача проєкту рішення на пленарному засіданні та особи, відповідальної за супроводження</w:t>
      </w:r>
    </w:p>
    <w:p w:rsidR="00EE4555" w:rsidRPr="00FB0535" w:rsidRDefault="00EE4555" w:rsidP="00FB0535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Суб’єктом подання даного проєкту рішення є постійна комісія Київської міської ради з питань власності та регуляторної політики.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</w:pPr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 xml:space="preserve">Доповідач на пленарному засіданні Київської міської ради: голова постійної комісії Київської міської ради з питань власності та регуляторної політики – Михайло ПРИСЯЖНЮК (м. Київ, вул. Хрещатик, 36, </w:t>
      </w:r>
      <w:proofErr w:type="spellStart"/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тел</w:t>
      </w:r>
      <w:proofErr w:type="spellEnd"/>
      <w:r w:rsidRPr="00FB0535">
        <w:rPr>
          <w:rFonts w:ascii="Times New Roman" w:eastAsia="Calibri" w:hAnsi="Times New Roman" w:cs="Times New Roman"/>
          <w:color w:val="00000A"/>
          <w:kern w:val="1"/>
          <w:sz w:val="28"/>
          <w:szCs w:val="28"/>
        </w:rPr>
        <w:t>. 202-70-52).</w:t>
      </w: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A"/>
          <w:spacing w:val="-6"/>
          <w:sz w:val="28"/>
          <w:szCs w:val="28"/>
          <w:lang w:eastAsia="ru-RU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A"/>
          <w:spacing w:val="-6"/>
          <w:sz w:val="28"/>
          <w:szCs w:val="28"/>
          <w:lang w:eastAsia="ru-RU"/>
        </w:rPr>
      </w:pPr>
    </w:p>
    <w:p w:rsidR="00FB0535" w:rsidRPr="00FB0535" w:rsidRDefault="00FB0535" w:rsidP="00FB0535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A"/>
          <w:spacing w:val="-6"/>
          <w:sz w:val="28"/>
          <w:szCs w:val="28"/>
          <w:lang w:eastAsia="ru-RU"/>
        </w:rPr>
      </w:pPr>
    </w:p>
    <w:p w:rsidR="00FB0535" w:rsidRPr="00FB0535" w:rsidRDefault="00FB0535" w:rsidP="003A31B9">
      <w:pPr>
        <w:suppressAutoHyphens/>
        <w:spacing w:after="0" w:line="240" w:lineRule="auto"/>
        <w:jc w:val="both"/>
        <w:rPr>
          <w:rFonts w:ascii="Calibri" w:eastAsia="Calibri" w:hAnsi="Calibri" w:cs="Calibri"/>
          <w:color w:val="00000A"/>
        </w:rPr>
      </w:pPr>
      <w:r w:rsidRPr="00FB0535">
        <w:rPr>
          <w:rFonts w:ascii="Times New Roman" w:eastAsia="Times New Roman" w:hAnsi="Times New Roman" w:cs="Times New Roman"/>
          <w:color w:val="00000A"/>
          <w:spacing w:val="-6"/>
          <w:sz w:val="28"/>
          <w:szCs w:val="28"/>
          <w:lang w:eastAsia="ru-RU"/>
        </w:rPr>
        <w:t xml:space="preserve">Голова комісії        </w:t>
      </w:r>
      <w:r w:rsidRPr="00FB0535">
        <w:rPr>
          <w:rFonts w:ascii="Times New Roman" w:eastAsia="Times New Roman" w:hAnsi="Times New Roman" w:cs="Times New Roman"/>
          <w:color w:val="00000A"/>
          <w:spacing w:val="-6"/>
          <w:sz w:val="28"/>
          <w:szCs w:val="28"/>
          <w:lang w:eastAsia="ru-RU"/>
        </w:rPr>
        <w:tab/>
        <w:t xml:space="preserve">                                </w:t>
      </w:r>
      <w:r w:rsidRPr="00FB0535">
        <w:rPr>
          <w:rFonts w:ascii="Times New Roman" w:eastAsia="Times New Roman" w:hAnsi="Times New Roman" w:cs="Times New Roman"/>
          <w:color w:val="00000A"/>
          <w:spacing w:val="-6"/>
          <w:sz w:val="28"/>
          <w:szCs w:val="28"/>
          <w:lang w:val="ru-RU" w:eastAsia="ru-RU"/>
        </w:rPr>
        <w:t xml:space="preserve"> </w:t>
      </w:r>
      <w:r w:rsidRPr="00FB0535">
        <w:rPr>
          <w:rFonts w:ascii="Times New Roman" w:eastAsia="Times New Roman" w:hAnsi="Times New Roman" w:cs="Times New Roman"/>
          <w:color w:val="00000A"/>
          <w:spacing w:val="-6"/>
          <w:sz w:val="28"/>
          <w:szCs w:val="28"/>
          <w:lang w:val="ru-RU" w:eastAsia="ru-RU"/>
        </w:rPr>
        <w:tab/>
      </w:r>
      <w:r w:rsidRPr="00FB0535">
        <w:rPr>
          <w:rFonts w:ascii="Times New Roman" w:eastAsia="Times New Roman" w:hAnsi="Times New Roman" w:cs="Times New Roman"/>
          <w:color w:val="00000A"/>
          <w:spacing w:val="-6"/>
          <w:sz w:val="28"/>
          <w:szCs w:val="28"/>
          <w:lang w:val="ru-RU" w:eastAsia="ru-RU"/>
        </w:rPr>
        <w:tab/>
      </w:r>
      <w:r w:rsidRPr="00FB0535">
        <w:rPr>
          <w:rFonts w:ascii="Times New Roman" w:eastAsia="Times New Roman" w:hAnsi="Times New Roman" w:cs="Times New Roman"/>
          <w:color w:val="00000A"/>
          <w:spacing w:val="-6"/>
          <w:sz w:val="28"/>
          <w:szCs w:val="28"/>
          <w:lang w:eastAsia="ru-RU"/>
        </w:rPr>
        <w:t xml:space="preserve"> </w:t>
      </w:r>
      <w:r w:rsidRPr="00FB0535">
        <w:rPr>
          <w:rFonts w:ascii="Times New Roman" w:eastAsia="Times New Roman" w:hAnsi="Times New Roman" w:cs="Times New Roman"/>
          <w:color w:val="00000A"/>
          <w:spacing w:val="-6"/>
          <w:sz w:val="28"/>
          <w:szCs w:val="28"/>
          <w:lang w:val="ru-RU" w:eastAsia="ru-RU"/>
        </w:rPr>
        <w:t xml:space="preserve">     </w:t>
      </w:r>
      <w:r w:rsidRPr="00FB0535">
        <w:rPr>
          <w:rFonts w:ascii="Times New Roman" w:eastAsia="Times New Roman" w:hAnsi="Times New Roman" w:cs="Times New Roman"/>
          <w:color w:val="00000A"/>
          <w:spacing w:val="-6"/>
          <w:sz w:val="28"/>
          <w:szCs w:val="28"/>
          <w:lang w:eastAsia="ru-RU"/>
        </w:rPr>
        <w:t>Михайло ПРИСЯЖНЮК</w:t>
      </w:r>
      <w:bookmarkStart w:id="0" w:name="_GoBack"/>
      <w:bookmarkEnd w:id="0"/>
    </w:p>
    <w:p w:rsidR="00FB7B1B" w:rsidRDefault="00FB7B1B"/>
    <w:sectPr w:rsidR="00FB7B1B" w:rsidSect="00AE53F3">
      <w:footerReference w:type="default" r:id="rId8"/>
      <w:pgSz w:w="11906" w:h="16838"/>
      <w:pgMar w:top="850" w:right="851" w:bottom="850" w:left="1701" w:header="709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79A" w:rsidRDefault="00EE4555">
      <w:pPr>
        <w:spacing w:after="0" w:line="240" w:lineRule="auto"/>
      </w:pPr>
      <w:r>
        <w:separator/>
      </w:r>
    </w:p>
  </w:endnote>
  <w:endnote w:type="continuationSeparator" w:id="0">
    <w:p w:rsidR="00FF679A" w:rsidRDefault="00EE4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471" w:rsidRDefault="003A31B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79A" w:rsidRDefault="00EE4555">
      <w:pPr>
        <w:spacing w:after="0" w:line="240" w:lineRule="auto"/>
      </w:pPr>
      <w:r>
        <w:separator/>
      </w:r>
    </w:p>
  </w:footnote>
  <w:footnote w:type="continuationSeparator" w:id="0">
    <w:p w:rsidR="00FF679A" w:rsidRDefault="00EE45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2A12AE"/>
    <w:multiLevelType w:val="hybridMultilevel"/>
    <w:tmpl w:val="A17A57A0"/>
    <w:lvl w:ilvl="0" w:tplc="D7D82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535"/>
    <w:rsid w:val="002C2711"/>
    <w:rsid w:val="003A31B9"/>
    <w:rsid w:val="00EE4555"/>
    <w:rsid w:val="00FB0535"/>
    <w:rsid w:val="00FB7B1B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7FAFB"/>
  <w15:chartTrackingRefBased/>
  <w15:docId w15:val="{44363EE4-DDD7-4220-A613-88FBE650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ижний колонтитул"/>
    <w:basedOn w:val="a"/>
    <w:uiPriority w:val="99"/>
    <w:unhideWhenUsed/>
    <w:rsid w:val="00FB053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20E6F-4A0A-4691-A8C9-B46EEB9FA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2166</Words>
  <Characters>1236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Chumachenko Alla</cp:lastModifiedBy>
  <cp:revision>3</cp:revision>
  <dcterms:created xsi:type="dcterms:W3CDTF">2024-03-27T15:20:00Z</dcterms:created>
  <dcterms:modified xsi:type="dcterms:W3CDTF">2024-03-28T08:12:00Z</dcterms:modified>
</cp:coreProperties>
</file>