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40" w:after="0"/>
        <w:ind w:left="820" w:hanging="0"/>
        <w:jc w:val="center"/>
        <w:rPr>
          <w:rFonts w:ascii="Times New Roman" w:hAnsi="Times New Roman" w:eastAsia="Times New Roman" w:cs="Times New Roman"/>
          <w:b/>
          <w:b/>
          <w:sz w:val="68"/>
          <w:szCs w:val="68"/>
        </w:rPr>
      </w:pPr>
      <w:r>
        <w:rPr/>
        <w:drawing>
          <wp:inline distT="0" distB="0" distL="0" distR="0">
            <wp:extent cx="728980" cy="916940"/>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728980" cy="916940"/>
                    </a:xfrm>
                    <a:prstGeom prst="rect">
                      <a:avLst/>
                    </a:prstGeom>
                  </pic:spPr>
                </pic:pic>
              </a:graphicData>
            </a:graphic>
          </wp:inline>
        </w:drawing>
      </w:r>
    </w:p>
    <w:p>
      <w:pPr>
        <w:pStyle w:val="Normal"/>
        <w:spacing w:before="140" w:after="0"/>
        <w:ind w:left="820" w:hanging="0"/>
        <w:jc w:val="center"/>
        <w:rPr>
          <w:rFonts w:ascii="Times New Roman" w:hAnsi="Times New Roman" w:eastAsia="Times New Roman" w:cs="Times New Roman"/>
          <w:b/>
          <w:b/>
          <w:sz w:val="28"/>
          <w:szCs w:val="28"/>
          <w:lang w:val="ru-RU"/>
        </w:rPr>
      </w:pPr>
      <w:r>
        <w:rPr>
          <w:rFonts w:eastAsia="Times New Roman" w:cs="Times New Roman" w:ascii="Times New Roman" w:hAnsi="Times New Roman"/>
          <w:b/>
          <w:sz w:val="68"/>
          <w:szCs w:val="68"/>
          <w:lang w:val="ru-RU"/>
        </w:rPr>
        <w:t>КИЇВСЬКА МІСЬКА РАДА</w:t>
      </w:r>
    </w:p>
    <w:p>
      <w:pPr>
        <w:pStyle w:val="Normal"/>
        <w:spacing w:before="40" w:after="0"/>
        <w:ind w:left="620" w:hanging="0"/>
        <w:jc w:val="center"/>
        <w:rPr>
          <w:rFonts w:ascii="Times New Roman" w:hAnsi="Times New Roman" w:eastAsia="Times New Roman" w:cs="Times New Roman"/>
          <w:b/>
          <w:b/>
          <w:sz w:val="29"/>
          <w:szCs w:val="29"/>
          <w:lang w:val="ru-RU"/>
        </w:rPr>
      </w:pPr>
      <w:r>
        <w:rPr>
          <w:rFonts w:eastAsia="Times New Roman" w:cs="Times New Roman" w:ascii="Times New Roman" w:hAnsi="Times New Roman"/>
          <w:b/>
          <w:sz w:val="29"/>
          <w:szCs w:val="29"/>
        </w:rPr>
        <w:t>II</w:t>
      </w:r>
      <w:r>
        <w:rPr>
          <w:rFonts w:eastAsia="Times New Roman" w:cs="Times New Roman" w:ascii="Times New Roman" w:hAnsi="Times New Roman"/>
          <w:b/>
          <w:sz w:val="29"/>
          <w:szCs w:val="29"/>
          <w:lang w:val="ru-RU"/>
        </w:rPr>
        <w:t xml:space="preserve"> сесія </w:t>
      </w:r>
      <w:r>
        <w:rPr>
          <w:rFonts w:eastAsia="Times New Roman" w:cs="Times New Roman" w:ascii="Times New Roman" w:hAnsi="Times New Roman"/>
          <w:b/>
          <w:sz w:val="29"/>
          <w:szCs w:val="29"/>
        </w:rPr>
        <w:t>IX</w:t>
      </w:r>
      <w:r>
        <w:rPr>
          <w:rFonts w:eastAsia="Times New Roman" w:cs="Times New Roman" w:ascii="Times New Roman" w:hAnsi="Times New Roman"/>
          <w:b/>
          <w:sz w:val="29"/>
          <w:szCs w:val="29"/>
          <w:lang w:val="ru-RU"/>
        </w:rPr>
        <w:t xml:space="preserve"> скликання</w:t>
      </w:r>
    </w:p>
    <w:p>
      <w:pPr>
        <w:pStyle w:val="Normal"/>
        <w:spacing w:before="40" w:after="0"/>
        <w:ind w:left="620" w:hanging="0"/>
        <w:jc w:val="center"/>
        <w:rPr>
          <w:rFonts w:ascii="Times New Roman" w:hAnsi="Times New Roman" w:eastAsia="Times New Roman" w:cs="Times New Roman"/>
          <w:b/>
          <w:b/>
          <w:sz w:val="29"/>
          <w:szCs w:val="29"/>
        </w:rPr>
      </w:pPr>
      <w:r>
        <w:rPr/>
        <w:drawing>
          <wp:inline distT="0" distB="0" distL="0" distR="0">
            <wp:extent cx="5943600" cy="88900"/>
            <wp:effectExtent l="0" t="0" r="0" b="0"/>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3"/>
                    <a:stretch>
                      <a:fillRect/>
                    </a:stretch>
                  </pic:blipFill>
                  <pic:spPr bwMode="auto">
                    <a:xfrm>
                      <a:off x="0" y="0"/>
                      <a:ext cx="5943600" cy="88900"/>
                    </a:xfrm>
                    <a:prstGeom prst="rect">
                      <a:avLst/>
                    </a:prstGeom>
                  </pic:spPr>
                </pic:pic>
              </a:graphicData>
            </a:graphic>
          </wp:inline>
        </w:drawing>
      </w:r>
    </w:p>
    <w:p>
      <w:pPr>
        <w:pStyle w:val="Normal"/>
        <w:ind w:right="580" w:hanging="0"/>
        <w:rPr>
          <w:rFonts w:ascii="Times New Roman" w:hAnsi="Times New Roman" w:eastAsia="Times New Roman" w:cs="Times New Roman"/>
          <w:b/>
          <w:b/>
          <w:sz w:val="21"/>
          <w:szCs w:val="21"/>
        </w:rPr>
      </w:pPr>
      <w:r>
        <w:rPr>
          <w:rFonts w:eastAsia="Times New Roman" w:cs="Times New Roman" w:ascii="Times New Roman" w:hAnsi="Times New Roman"/>
          <w:b/>
          <w:sz w:val="21"/>
          <w:szCs w:val="21"/>
        </w:rPr>
        <w:t xml:space="preserve"> </w:t>
      </w:r>
    </w:p>
    <w:p>
      <w:pPr>
        <w:pStyle w:val="Normal"/>
        <w:spacing w:before="80" w:after="240"/>
        <w:jc w:val="center"/>
        <w:rPr>
          <w:rFonts w:ascii="Times New Roman" w:hAnsi="Times New Roman" w:eastAsia="Times New Roman" w:cs="Times New Roman"/>
          <w:b/>
          <w:b/>
          <w:sz w:val="48"/>
          <w:szCs w:val="48"/>
        </w:rPr>
      </w:pPr>
      <w:r>
        <w:rPr>
          <w:rFonts w:eastAsia="Times New Roman" w:cs="Times New Roman" w:ascii="Times New Roman" w:hAnsi="Times New Roman"/>
          <w:b/>
          <w:sz w:val="48"/>
          <w:szCs w:val="48"/>
        </w:rPr>
        <w:t>РІШЕННЯ</w:t>
      </w:r>
    </w:p>
    <w:p>
      <w:pPr>
        <w:pStyle w:val="Normal"/>
        <w:widowControl w:val="false"/>
        <w:suppressLineNumbers/>
        <w:tabs>
          <w:tab w:val="clear" w:pos="720"/>
          <w:tab w:val="left" w:pos="900" w:leader="none"/>
          <w:tab w:val="left" w:pos="1080" w:leader="none"/>
        </w:tabs>
        <w:suppressAutoHyphens w:val="true"/>
        <w:jc w:val="both"/>
        <w:rPr>
          <w:rFonts w:eastAsia="Calibri"/>
          <w:sz w:val="28"/>
          <w:szCs w:val="28"/>
        </w:rPr>
      </w:pPr>
      <w:r>
        <w:rPr>
          <w:rFonts w:eastAsia="Calibri"/>
          <w:sz w:val="28"/>
          <w:szCs w:val="28"/>
        </w:rPr>
        <w:t>_______________</w:t>
      </w:r>
      <w:r>
        <w:rPr>
          <w:rFonts w:eastAsia="Calibri" w:ascii="Times New Roman" w:hAnsi="Times New Roman"/>
          <w:sz w:val="28"/>
          <w:szCs w:val="28"/>
        </w:rPr>
        <w:t>№_____________</w:t>
      </w:r>
      <w:r>
        <w:rPr>
          <w:rFonts w:ascii="Times New Roman" w:hAnsi="Times New Roman"/>
          <w:sz w:val="28"/>
          <w:szCs w:val="28"/>
        </w:rPr>
        <w:t xml:space="preserve">                                                          ПРОЄКТ</w:t>
      </w:r>
    </w:p>
    <w:p>
      <w:pPr>
        <w:pStyle w:val="Normal"/>
        <w:rPr>
          <w:rFonts w:ascii="Times New Roman" w:hAnsi="Times New Roman"/>
          <w:sz w:val="28"/>
          <w:szCs w:val="28"/>
        </w:rPr>
      </w:pPr>
      <w:r>
        <w:rPr>
          <w:rFonts w:ascii="Times New Roman" w:hAnsi="Times New Roman"/>
          <w:sz w:val="28"/>
          <w:szCs w:val="28"/>
        </w:rPr>
      </w:r>
    </w:p>
    <w:p>
      <w:pPr>
        <w:pStyle w:val="Normal"/>
        <w:ind w:right="4472" w:hanging="0"/>
        <w:jc w:val="both"/>
        <w:rPr>
          <w:rFonts w:ascii="Times New Roman" w:hAnsi="Times New Roman"/>
          <w:sz w:val="28"/>
          <w:szCs w:val="28"/>
        </w:rPr>
      </w:pPr>
      <w:r>
        <w:rPr>
          <w:rFonts w:ascii="Times New Roman" w:hAnsi="Times New Roman"/>
          <w:b/>
          <w:sz w:val="28"/>
          <w:szCs w:val="28"/>
        </w:rPr>
        <w:t>Про безоплатне прийняття до комунальної власності територіальної громади міста Києва гуртожитку та зовнішніх інженерних мереж ПрАТ «АТЕК» та внесення змін у додаток до рішення Київської міської ради від 24 травня 2012 року № 596/7933 «Про приватизацію жилих приміщень у гуртожитках м. Києва»</w:t>
      </w:r>
    </w:p>
    <w:p>
      <w:pPr>
        <w:pStyle w:val="Normal"/>
        <w:ind w:right="4472" w:hanging="0"/>
        <w:jc w:val="both"/>
        <w:rPr>
          <w:rFonts w:ascii="Times New Roman" w:hAnsi="Times New Roman"/>
          <w:b/>
          <w:b/>
          <w:sz w:val="28"/>
          <w:szCs w:val="28"/>
        </w:rPr>
      </w:pPr>
      <w:r>
        <w:rPr>
          <w:rFonts w:ascii="Times New Roman" w:hAnsi="Times New Roman"/>
          <w:b/>
          <w:sz w:val="28"/>
          <w:szCs w:val="28"/>
        </w:rPr>
      </w:r>
    </w:p>
    <w:p>
      <w:pPr>
        <w:pStyle w:val="Normal"/>
        <w:ind w:firstLine="567"/>
        <w:jc w:val="both"/>
        <w:rPr/>
      </w:pPr>
      <w:r>
        <w:rPr>
          <w:rFonts w:ascii="Times New Roman" w:hAnsi="Times New Roman"/>
          <w:sz w:val="28"/>
          <w:szCs w:val="28"/>
        </w:rPr>
        <w:t>Відповідно до статей 7, 19 Конституції України, статей 319, 327 Цивільного кодексу України, статті 60 Закону України «Про місцеве самоврядування в Україні», Закон</w:t>
      </w:r>
      <w:bookmarkStart w:id="0" w:name="_GoBack"/>
      <w:bookmarkEnd w:id="0"/>
      <w:r>
        <w:rPr>
          <w:rFonts w:ascii="Times New Roman" w:hAnsi="Times New Roman"/>
          <w:sz w:val="28"/>
          <w:szCs w:val="28"/>
        </w:rPr>
        <w:t xml:space="preserve">у України «Про забезпечення реалізації житлових прав мешканців гуртожитків», статей 2, 3 Закону України «Про приватизацію державного житлового фонду», постанови Кабінету Міністрів України від 06 листопада 1995 року № 891 «Про затвердження Положення про порядок передачі в комунальну власність державного житлового фонду, що перебував у повному господарському віданні або в оперативному управлінні підприємств, установ та організацій», рішень Київської міської ради </w:t>
      </w:r>
      <w:r>
        <w:rPr>
          <w:rStyle w:val="Strong"/>
          <w:rFonts w:ascii="Times New Roman" w:hAnsi="Times New Roman"/>
          <w:b w:val="false"/>
          <w:sz w:val="28"/>
          <w:szCs w:val="28"/>
        </w:rPr>
        <w:t>від 15 грудня 2011 року № 844/7080 «Про впорядкування прийняття майна до комунальної власності територіальної громади міста Києва, передачі його у володіння та користування, передачі до сфери управління районних в місті Києві державних адміністрацій, закріплення майна на праві господарського відання або оперативного управління</w:t>
      </w:r>
      <w:r>
        <w:rPr>
          <w:rFonts w:ascii="Times New Roman" w:hAnsi="Times New Roman"/>
          <w:sz w:val="28"/>
          <w:szCs w:val="28"/>
        </w:rPr>
        <w:t>», від 06 грудня 2018 року № 260/6311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враховуючи рішення Господарського суду міста Києва від 28 березня 2019 року у справі № 910/17698/18, з метою залишення будинків у статусі «гуртожиток» та надання дозволу на приватизацію їх жилих і нежилих приміщень Київська міська рада</w:t>
      </w:r>
    </w:p>
    <w:p>
      <w:pPr>
        <w:pStyle w:val="Normal"/>
        <w:ind w:firstLine="567"/>
        <w:jc w:val="both"/>
        <w:rPr>
          <w:rFonts w:ascii="Times New Roman" w:hAnsi="Times New Roman"/>
          <w:sz w:val="28"/>
          <w:szCs w:val="28"/>
        </w:rPr>
      </w:pPr>
      <w:r>
        <w:rPr>
          <w:rFonts w:ascii="Times New Roman" w:hAnsi="Times New Roman"/>
          <w:sz w:val="28"/>
          <w:szCs w:val="28"/>
        </w:rPr>
      </w:r>
    </w:p>
    <w:p>
      <w:pPr>
        <w:pStyle w:val="NormalWeb"/>
        <w:tabs>
          <w:tab w:val="clear" w:pos="720"/>
          <w:tab w:val="left" w:pos="709" w:leader="none"/>
        </w:tabs>
        <w:spacing w:beforeAutospacing="0" w:before="0" w:afterAutospacing="0" w:after="0"/>
        <w:ind w:firstLine="567"/>
        <w:jc w:val="both"/>
        <w:rPr>
          <w:rFonts w:ascii="Times New Roman" w:hAnsi="Times New Roman"/>
          <w:sz w:val="28"/>
          <w:szCs w:val="28"/>
        </w:rPr>
      </w:pPr>
      <w:r>
        <w:rPr>
          <w:rFonts w:ascii="Times New Roman" w:hAnsi="Times New Roman"/>
          <w:b/>
          <w:bCs/>
          <w:sz w:val="28"/>
          <w:szCs w:val="28"/>
        </w:rPr>
        <w:t>ВИРІШИЛА</w:t>
      </w:r>
      <w:r>
        <w:rPr>
          <w:rFonts w:ascii="Times New Roman" w:hAnsi="Times New Roman"/>
          <w:b/>
          <w:sz w:val="28"/>
          <w:szCs w:val="28"/>
        </w:rPr>
        <w:t>:</w:t>
      </w:r>
    </w:p>
    <w:p>
      <w:pPr>
        <w:pStyle w:val="NormalWeb"/>
        <w:tabs>
          <w:tab w:val="clear" w:pos="720"/>
          <w:tab w:val="left" w:pos="709" w:leader="none"/>
        </w:tabs>
        <w:spacing w:beforeAutospacing="0" w:before="0" w:afterAutospacing="0" w:after="0"/>
        <w:ind w:firstLine="567"/>
        <w:jc w:val="both"/>
        <w:rPr>
          <w:rFonts w:ascii="Times New Roman" w:hAnsi="Times New Roman"/>
          <w:b/>
          <w:b/>
          <w:sz w:val="28"/>
          <w:szCs w:val="28"/>
        </w:rPr>
      </w:pPr>
      <w:r>
        <w:rPr>
          <w:rFonts w:ascii="Times New Roman" w:hAnsi="Times New Roman"/>
          <w:b/>
          <w:sz w:val="28"/>
          <w:szCs w:val="28"/>
        </w:rPr>
      </w:r>
    </w:p>
    <w:p>
      <w:pPr>
        <w:pStyle w:val="Normal"/>
        <w:tabs>
          <w:tab w:val="clear" w:pos="720"/>
          <w:tab w:val="left" w:pos="851" w:leader="none"/>
        </w:tabs>
        <w:ind w:firstLine="567"/>
        <w:jc w:val="both"/>
        <w:rPr>
          <w:rFonts w:ascii="Times New Roman" w:hAnsi="Times New Roman"/>
          <w:sz w:val="28"/>
          <w:szCs w:val="28"/>
        </w:rPr>
      </w:pPr>
      <w:bookmarkStart w:id="1" w:name="7"/>
      <w:bookmarkEnd w:id="1"/>
      <w:r>
        <w:rPr>
          <w:rFonts w:ascii="Times New Roman" w:hAnsi="Times New Roman"/>
          <w:sz w:val="28"/>
          <w:szCs w:val="28"/>
        </w:rPr>
        <w:t>1. Прийняти безоплатно до комунальної власності територіальної громади міста Києва та віднести до сфери управління Святошинської районної в місті Києві державної адміністрації будівлю гуртожитку приватного акціонерного товариства «АТЕК» згідно з додатком 1 до цього рішення.</w:t>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t>2. Прийняти безоплатно до комунальної власності територіальної громади міста Києва і передати у володіння та користування ПрАТ «АК «Київводоканал» зовнішні каналізаційні мережі гуртожитку приватного акціонерного товариства «АТЕК» у межах та на умовах, визначених угодою про передачу в управління відкритому акціонерному товариству «Акціонерна компанія «Київводоканал» майна, що є комунальною власністю територіальної громади міста Києва, від 20 листопада 2003 року (у редакції договору на володіння та користування майном територіальної громади міста Києва від 01 грудня 2006 року), укладеною між відкритим акціонерним товариством «Акціонерна компанія «Київводоканал» та Київською міською державною адміністрацією, згідно з додатком 2 до цього рішення.</w:t>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t>3. Прийняти безоплатно до комунальної власності територіальної громади міста Києва та передати у володіння і користування АТ «Київгаз» зовнішні мережі газопроводів гуртожитку приватного акціонерного товариства «АТЕК» у межах та на умовах, визначених договором на володіння та користування майном територіальної громади міста Києва від 21 квітня 2006 року (зі змінами), укладеним між відкритим акціонерним товариством «Київгаз» та виконавчим органом Київської міської ради (Київською міською державною адміністрацією), згідно з додатком 3 до цього рішення.</w:t>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r>
    </w:p>
    <w:p>
      <w:pPr>
        <w:pStyle w:val="1"/>
        <w:spacing w:before="0" w:after="0"/>
        <w:ind w:firstLine="567"/>
        <w:jc w:val="both"/>
        <w:rPr>
          <w:rFonts w:ascii="Times New Roman" w:hAnsi="Times New Roman"/>
          <w:sz w:val="28"/>
          <w:szCs w:val="28"/>
        </w:rPr>
      </w:pPr>
      <w:r>
        <w:rPr>
          <w:rFonts w:ascii="Times New Roman" w:hAnsi="Times New Roman"/>
          <w:b w:val="false"/>
          <w:bCs w:val="false"/>
          <w:kern w:val="0"/>
          <w:sz w:val="28"/>
          <w:szCs w:val="28"/>
        </w:rPr>
        <w:t>4. Прийняти безоплатно до комунальної власності територіальної громади міста Києва та закріпити на праві господарського відання за комунальним підприємством виконавчого органу Київської міської ради (Київської міської державної адміністрації) «КИЇВТЕПЛОЕНЕРГО» зовнішні теплові мережі гуртожитку приватного акціонерного товариства «АТЕК» згідно з додатком 4 до цього рішення.</w:t>
      </w:r>
    </w:p>
    <w:p>
      <w:pPr>
        <w:pStyle w:val="Normal"/>
        <w:rPr>
          <w:rFonts w:ascii="Times New Roman" w:hAnsi="Times New Roman"/>
          <w:sz w:val="28"/>
          <w:szCs w:val="28"/>
        </w:rPr>
      </w:pPr>
      <w:r>
        <w:rPr>
          <w:rFonts w:ascii="Times New Roman" w:hAnsi="Times New Roman"/>
          <w:sz w:val="28"/>
          <w:szCs w:val="28"/>
        </w:rPr>
      </w:r>
    </w:p>
    <w:p>
      <w:pPr>
        <w:pStyle w:val="Normal"/>
        <w:ind w:firstLine="567"/>
        <w:jc w:val="both"/>
        <w:rPr>
          <w:rFonts w:ascii="Times New Roman" w:hAnsi="Times New Roman"/>
          <w:sz w:val="28"/>
          <w:szCs w:val="28"/>
        </w:rPr>
      </w:pPr>
      <w:r>
        <w:rPr>
          <w:rFonts w:ascii="Times New Roman" w:hAnsi="Times New Roman"/>
          <w:sz w:val="28"/>
          <w:szCs w:val="28"/>
          <w:lang w:val="ru-RU"/>
        </w:rPr>
        <w:t xml:space="preserve">5. </w:t>
      </w:r>
      <w:r>
        <w:rPr>
          <w:rFonts w:ascii="Times New Roman" w:hAnsi="Times New Roman"/>
          <w:bCs/>
          <w:sz w:val="28"/>
          <w:szCs w:val="28"/>
          <w:lang w:val="ru-RU"/>
        </w:rPr>
        <w:t>Прийняти безоплатно до комунальної власності територіальної громади міста Києва та закріпити на праві господарського відання за приватним акціонерним товариством «ДТЕК» зовнішні електричні мережі гуртожитку приватного акціонерного товариства «АТЕК» згідно з додатком 5 до цього рішення.</w:t>
      </w:r>
    </w:p>
    <w:p>
      <w:pPr>
        <w:pStyle w:val="Normal"/>
        <w:tabs>
          <w:tab w:val="clear" w:pos="720"/>
          <w:tab w:val="left" w:pos="851" w:leader="none"/>
        </w:tabs>
        <w:ind w:firstLine="567"/>
        <w:jc w:val="both"/>
        <w:rPr>
          <w:rFonts w:ascii="Times New Roman" w:hAnsi="Times New Roman"/>
          <w:sz w:val="28"/>
          <w:szCs w:val="28"/>
          <w:lang w:val="ru-RU"/>
        </w:rPr>
      </w:pPr>
      <w:r>
        <w:rPr>
          <w:rFonts w:ascii="Times New Roman" w:hAnsi="Times New Roman"/>
          <w:sz w:val="28"/>
          <w:szCs w:val="28"/>
          <w:lang w:val="ru-RU"/>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lang w:val="ru-RU"/>
        </w:rPr>
        <w:t>6.</w:t>
      </w:r>
      <w:r>
        <w:rPr>
          <w:rFonts w:ascii="Times New Roman" w:hAnsi="Times New Roman"/>
          <w:sz w:val="28"/>
          <w:szCs w:val="28"/>
        </w:rPr>
        <w:t> </w:t>
      </w:r>
      <w:r>
        <w:rPr>
          <w:rFonts w:ascii="Times New Roman" w:hAnsi="Times New Roman"/>
          <w:sz w:val="28"/>
          <w:szCs w:val="28"/>
          <w:lang w:val="ru-RU"/>
        </w:rPr>
        <w:t>Святошинській районній в місті Києві державній адміністрації в установленому порядку забезпечити щодо майна, зазначеного у пункті 1 цього рішення:</w:t>
      </w:r>
    </w:p>
    <w:p>
      <w:pPr>
        <w:pStyle w:val="ListParagraph"/>
        <w:ind w:left="0" w:firstLine="567"/>
        <w:rPr>
          <w:rFonts w:ascii="Times New Roman" w:hAnsi="Times New Roman"/>
          <w:sz w:val="28"/>
          <w:szCs w:val="28"/>
          <w:lang w:val="uk-UA"/>
        </w:rPr>
      </w:pPr>
      <w:r>
        <w:rPr>
          <w:rFonts w:ascii="Times New Roman" w:hAnsi="Times New Roman"/>
          <w:sz w:val="28"/>
          <w:szCs w:val="28"/>
          <w:lang w:val="uk-UA"/>
        </w:rPr>
      </w:r>
    </w:p>
    <w:p>
      <w:pPr>
        <w:pStyle w:val="ListParagraph"/>
        <w:tabs>
          <w:tab w:val="clear" w:pos="720"/>
          <w:tab w:val="left" w:pos="851" w:leader="none"/>
        </w:tabs>
        <w:ind w:left="0" w:firstLine="567"/>
        <w:jc w:val="both"/>
        <w:rPr>
          <w:rFonts w:ascii="Times New Roman" w:hAnsi="Times New Roman"/>
          <w:sz w:val="28"/>
          <w:szCs w:val="28"/>
        </w:rPr>
      </w:pPr>
      <w:r>
        <w:rPr>
          <w:rFonts w:ascii="Times New Roman" w:hAnsi="Times New Roman"/>
          <w:sz w:val="28"/>
          <w:szCs w:val="28"/>
          <w:lang w:val="uk-UA"/>
        </w:rPr>
        <w:t>6.1. приймання-передачу та надання до Департаменту комунальної власності м. Києва виконавчого органу Київської міської ради (Київської міської державної адміністрації) копії акта приймання-передачі;</w:t>
      </w:r>
    </w:p>
    <w:p>
      <w:pPr>
        <w:pStyle w:val="ListParagraph"/>
        <w:tabs>
          <w:tab w:val="clear" w:pos="720"/>
          <w:tab w:val="left" w:pos="851" w:leader="none"/>
        </w:tabs>
        <w:ind w:left="0" w:firstLine="567"/>
        <w:jc w:val="both"/>
        <w:rPr>
          <w:rFonts w:ascii="Times New Roman" w:hAnsi="Times New Roman"/>
          <w:sz w:val="28"/>
          <w:szCs w:val="28"/>
          <w:lang w:val="uk-UA"/>
        </w:rPr>
      </w:pPr>
      <w:r>
        <w:rPr>
          <w:rFonts w:ascii="Times New Roman" w:hAnsi="Times New Roman"/>
          <w:sz w:val="28"/>
          <w:szCs w:val="28"/>
          <w:lang w:val="uk-UA"/>
        </w:rPr>
      </w:r>
    </w:p>
    <w:p>
      <w:pPr>
        <w:pStyle w:val="ListParagraph"/>
        <w:tabs>
          <w:tab w:val="clear" w:pos="720"/>
          <w:tab w:val="left" w:pos="851" w:leader="none"/>
        </w:tabs>
        <w:ind w:left="0" w:firstLine="567"/>
        <w:jc w:val="both"/>
        <w:rPr>
          <w:rFonts w:ascii="Times New Roman" w:hAnsi="Times New Roman"/>
          <w:sz w:val="28"/>
          <w:szCs w:val="28"/>
        </w:rPr>
      </w:pPr>
      <w:r>
        <w:rPr>
          <w:rFonts w:ascii="Times New Roman" w:hAnsi="Times New Roman"/>
          <w:sz w:val="28"/>
          <w:szCs w:val="28"/>
          <w:lang w:val="uk-UA"/>
        </w:rPr>
        <w:t>6.2. вжиття заходів щодо державної реєстрації права власності територіальної громади міста Києва.</w:t>
      </w:r>
    </w:p>
    <w:p>
      <w:pPr>
        <w:pStyle w:val="ListParagraph"/>
        <w:tabs>
          <w:tab w:val="clear" w:pos="720"/>
          <w:tab w:val="left" w:pos="851" w:leader="none"/>
        </w:tabs>
        <w:ind w:left="0" w:firstLine="567"/>
        <w:jc w:val="both"/>
        <w:rPr>
          <w:rFonts w:ascii="Times New Roman" w:hAnsi="Times New Roman"/>
          <w:sz w:val="28"/>
          <w:szCs w:val="28"/>
          <w:lang w:val="uk-UA"/>
        </w:rPr>
      </w:pPr>
      <w:r>
        <w:rPr>
          <w:rFonts w:ascii="Times New Roman" w:hAnsi="Times New Roman"/>
          <w:sz w:val="28"/>
          <w:szCs w:val="28"/>
          <w:lang w:val="uk-UA"/>
        </w:rPr>
      </w:r>
    </w:p>
    <w:p>
      <w:pPr>
        <w:pStyle w:val="ListParagraph"/>
        <w:tabs>
          <w:tab w:val="clear" w:pos="720"/>
          <w:tab w:val="left" w:pos="851" w:leader="none"/>
        </w:tabs>
        <w:ind w:left="0" w:firstLine="567"/>
        <w:jc w:val="both"/>
        <w:rPr>
          <w:rFonts w:ascii="Times New Roman" w:hAnsi="Times New Roman"/>
          <w:sz w:val="28"/>
          <w:szCs w:val="28"/>
        </w:rPr>
      </w:pPr>
      <w:r>
        <w:rPr>
          <w:rFonts w:ascii="Times New Roman" w:hAnsi="Times New Roman"/>
          <w:sz w:val="28"/>
          <w:szCs w:val="28"/>
          <w:lang w:val="uk-UA"/>
        </w:rPr>
        <w:t>6.3. забезпечити його збереження та утримання у встановленому порядку.</w:t>
      </w:r>
    </w:p>
    <w:p>
      <w:pPr>
        <w:pStyle w:val="ListParagraph"/>
        <w:tabs>
          <w:tab w:val="clear" w:pos="720"/>
          <w:tab w:val="left" w:pos="851" w:leader="none"/>
        </w:tabs>
        <w:ind w:left="0" w:firstLine="567"/>
        <w:rPr>
          <w:rFonts w:ascii="Times New Roman" w:hAnsi="Times New Roman"/>
          <w:sz w:val="28"/>
          <w:szCs w:val="28"/>
          <w:lang w:val="uk-UA"/>
        </w:rPr>
      </w:pPr>
      <w:r>
        <w:rPr>
          <w:rFonts w:ascii="Times New Roman" w:hAnsi="Times New Roman"/>
          <w:sz w:val="28"/>
          <w:szCs w:val="28"/>
          <w:lang w:val="uk-UA"/>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lang w:val="uk-UA"/>
        </w:rPr>
        <w:t>7.</w:t>
      </w:r>
      <w:r>
        <w:rPr>
          <w:rFonts w:ascii="Times New Roman" w:hAnsi="Times New Roman"/>
          <w:sz w:val="28"/>
          <w:szCs w:val="28"/>
        </w:rPr>
        <w:t> </w:t>
      </w:r>
      <w:r>
        <w:rPr>
          <w:rFonts w:ascii="Times New Roman" w:hAnsi="Times New Roman"/>
          <w:sz w:val="28"/>
          <w:szCs w:val="28"/>
          <w:lang w:val="uk-UA"/>
        </w:rPr>
        <w:t>Департаменту комунальної власності м.</w:t>
      </w:r>
      <w:r>
        <w:rPr>
          <w:rFonts w:ascii="Times New Roman" w:hAnsi="Times New Roman"/>
          <w:sz w:val="28"/>
          <w:szCs w:val="28"/>
        </w:rPr>
        <w:t> </w:t>
      </w:r>
      <w:r>
        <w:rPr>
          <w:rFonts w:ascii="Times New Roman" w:hAnsi="Times New Roman"/>
          <w:sz w:val="28"/>
          <w:szCs w:val="28"/>
          <w:lang w:val="uk-UA"/>
        </w:rPr>
        <w:t>Києва виконавчого органу Київської міської ради (Київської міської державної адміністрації) забезпечити в установленому порядку приймання-передачу зовнішніх інженерних мереж до гуртожитку приватного акціонерного товариства «АТЕК», зазначених у пунктах 2, 3, 4, 5 цього рішення.</w:t>
      </w:r>
    </w:p>
    <w:p>
      <w:pPr>
        <w:pStyle w:val="Normal"/>
        <w:tabs>
          <w:tab w:val="clear" w:pos="720"/>
          <w:tab w:val="left" w:pos="851" w:leader="none"/>
        </w:tabs>
        <w:ind w:firstLine="567"/>
        <w:jc w:val="both"/>
        <w:rPr>
          <w:rFonts w:ascii="Times New Roman" w:hAnsi="Times New Roman"/>
          <w:sz w:val="28"/>
          <w:szCs w:val="28"/>
          <w:lang w:val="uk-UA"/>
        </w:rPr>
      </w:pPr>
      <w:r>
        <w:rPr>
          <w:rFonts w:ascii="Times New Roman" w:hAnsi="Times New Roman"/>
          <w:sz w:val="28"/>
          <w:szCs w:val="28"/>
          <w:lang w:val="uk-UA"/>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bCs/>
          <w:sz w:val="28"/>
          <w:szCs w:val="28"/>
          <w:lang w:val="uk-UA"/>
        </w:rPr>
        <w:t>8.</w:t>
      </w:r>
      <w:r>
        <w:rPr>
          <w:rFonts w:ascii="Times New Roman" w:hAnsi="Times New Roman"/>
          <w:bCs/>
          <w:sz w:val="28"/>
          <w:szCs w:val="28"/>
        </w:rPr>
        <w:t> </w:t>
      </w:r>
      <w:r>
        <w:rPr>
          <w:rFonts w:ascii="Times New Roman" w:hAnsi="Times New Roman"/>
          <w:bCs/>
          <w:sz w:val="28"/>
          <w:szCs w:val="28"/>
          <w:lang w:val="uk-UA"/>
        </w:rPr>
        <w:t>Внести зміни у додаток до рішення Київської міської ради від 24 травня 2012 року №</w:t>
      </w:r>
      <w:r>
        <w:rPr>
          <w:rFonts w:ascii="Times New Roman" w:hAnsi="Times New Roman"/>
          <w:bCs/>
          <w:sz w:val="28"/>
          <w:szCs w:val="28"/>
        </w:rPr>
        <w:t> </w:t>
      </w:r>
      <w:r>
        <w:rPr>
          <w:rFonts w:ascii="Times New Roman" w:hAnsi="Times New Roman"/>
          <w:bCs/>
          <w:sz w:val="28"/>
          <w:szCs w:val="28"/>
          <w:lang w:val="uk-UA"/>
        </w:rPr>
        <w:t>596/7933 «Про приватизацію жилих приміщень у гуртожитках м.</w:t>
      </w:r>
      <w:r>
        <w:rPr>
          <w:rFonts w:ascii="Times New Roman" w:hAnsi="Times New Roman"/>
          <w:bCs/>
          <w:sz w:val="28"/>
          <w:szCs w:val="28"/>
        </w:rPr>
        <w:t> </w:t>
      </w:r>
      <w:r>
        <w:rPr>
          <w:rFonts w:ascii="Times New Roman" w:hAnsi="Times New Roman"/>
          <w:bCs/>
          <w:sz w:val="28"/>
          <w:szCs w:val="28"/>
          <w:lang w:val="uk-UA"/>
        </w:rPr>
        <w:t>Києва» (в редакції рішення Київської міської ради від 11 лютого 2016 року №</w:t>
      </w:r>
      <w:r>
        <w:rPr>
          <w:rFonts w:ascii="Times New Roman" w:hAnsi="Times New Roman"/>
          <w:bCs/>
          <w:sz w:val="28"/>
          <w:szCs w:val="28"/>
        </w:rPr>
        <w:t> </w:t>
      </w:r>
      <w:r>
        <w:rPr>
          <w:rFonts w:ascii="Times New Roman" w:hAnsi="Times New Roman"/>
          <w:bCs/>
          <w:sz w:val="28"/>
          <w:szCs w:val="28"/>
          <w:lang w:val="uk-UA"/>
        </w:rPr>
        <w:t>94/94) такі зміни:</w:t>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bCs/>
          <w:sz w:val="28"/>
          <w:szCs w:val="28"/>
          <w:lang w:val="ru-RU"/>
        </w:rPr>
        <w:t>8.1.</w:t>
      </w:r>
      <w:r>
        <w:rPr>
          <w:rFonts w:ascii="Times New Roman" w:hAnsi="Times New Roman"/>
          <w:bCs/>
          <w:sz w:val="28"/>
          <w:szCs w:val="28"/>
        </w:rPr>
        <w:t> </w:t>
      </w:r>
      <w:r>
        <w:rPr>
          <w:rFonts w:ascii="Times New Roman" w:hAnsi="Times New Roman"/>
          <w:bCs/>
          <w:sz w:val="28"/>
          <w:szCs w:val="28"/>
          <w:lang w:val="ru-RU"/>
        </w:rPr>
        <w:t>Після позиції 64 доповнити новою позицією 65 такого змісту:</w:t>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bCs/>
          <w:sz w:val="28"/>
          <w:szCs w:val="28"/>
        </w:rPr>
        <w:t>«</w:t>
      </w:r>
    </w:p>
    <w:tbl>
      <w:tblPr>
        <w:tblW w:w="5000" w:type="pct"/>
        <w:jc w:val="left"/>
        <w:tblInd w:w="7" w:type="dxa"/>
        <w:tblLayout w:type="fixed"/>
        <w:tblCellMar>
          <w:top w:w="0" w:type="dxa"/>
          <w:left w:w="0" w:type="dxa"/>
          <w:bottom w:w="0" w:type="dxa"/>
          <w:right w:w="0" w:type="dxa"/>
        </w:tblCellMar>
        <w:tblLook w:firstRow="1" w:noVBand="1" w:lastRow="0" w:firstColumn="1" w:lastColumn="0" w:noHBand="0" w:val="04a0"/>
      </w:tblPr>
      <w:tblGrid>
        <w:gridCol w:w="770"/>
        <w:gridCol w:w="5012"/>
        <w:gridCol w:w="3856"/>
      </w:tblGrid>
      <w:tr>
        <w:trPr/>
        <w:tc>
          <w:tcPr>
            <w:tcW w:w="770" w:type="dxa"/>
            <w:tcBorders>
              <w:top w:val="outset" w:sz="6" w:space="0" w:color="000000"/>
              <w:left w:val="outset" w:sz="6" w:space="0" w:color="000000"/>
              <w:bottom w:val="outset" w:sz="6" w:space="0" w:color="000000"/>
              <w:right w:val="outset" w:sz="6" w:space="0" w:color="000000"/>
            </w:tcBorders>
            <w:shd w:color="auto" w:fill="auto" w:val="clear"/>
          </w:tcPr>
          <w:p>
            <w:pPr>
              <w:pStyle w:val="Normal"/>
              <w:widowControl w:val="false"/>
              <w:tabs>
                <w:tab w:val="clear" w:pos="720"/>
                <w:tab w:val="left" w:pos="851" w:leader="none"/>
              </w:tabs>
              <w:jc w:val="center"/>
              <w:rPr>
                <w:rFonts w:ascii="Times New Roman" w:hAnsi="Times New Roman"/>
                <w:sz w:val="28"/>
                <w:szCs w:val="28"/>
              </w:rPr>
            </w:pPr>
            <w:r>
              <w:rPr>
                <w:rFonts w:ascii="Times New Roman" w:hAnsi="Times New Roman"/>
                <w:sz w:val="28"/>
                <w:szCs w:val="28"/>
              </w:rPr>
              <w:t>65.</w:t>
            </w:r>
          </w:p>
        </w:tc>
        <w:tc>
          <w:tcPr>
            <w:tcW w:w="5012" w:type="dxa"/>
            <w:tcBorders>
              <w:top w:val="outset" w:sz="6" w:space="0" w:color="000000"/>
              <w:left w:val="outset" w:sz="6" w:space="0" w:color="000000"/>
              <w:bottom w:val="outset" w:sz="6" w:space="0" w:color="000000"/>
              <w:right w:val="outset" w:sz="6" w:space="0" w:color="000000"/>
            </w:tcBorders>
            <w:shd w:color="auto" w:fill="auto" w:val="clear"/>
          </w:tcPr>
          <w:p>
            <w:pPr>
              <w:pStyle w:val="Normal"/>
              <w:widowControl w:val="false"/>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t>вул. Чистяківська, 4</w:t>
            </w:r>
          </w:p>
        </w:tc>
        <w:tc>
          <w:tcPr>
            <w:tcW w:w="3856" w:type="dxa"/>
            <w:tcBorders>
              <w:top w:val="outset" w:sz="6" w:space="0" w:color="000000"/>
              <w:left w:val="outset" w:sz="6" w:space="0" w:color="000000"/>
              <w:bottom w:val="outset" w:sz="6" w:space="0" w:color="000000"/>
              <w:right w:val="outset" w:sz="6" w:space="0" w:color="000000"/>
            </w:tcBorders>
            <w:shd w:color="auto" w:fill="auto" w:val="clear"/>
          </w:tcPr>
          <w:p>
            <w:pPr>
              <w:pStyle w:val="Normal"/>
              <w:widowControl w:val="false"/>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t>Святошинський</w:t>
            </w:r>
          </w:p>
        </w:tc>
      </w:tr>
    </w:tbl>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lang w:val="ru-RU"/>
        </w:rPr>
        <w:t>У зв'язку з цим позицію 65 - 89 вважати позиціями 66 - 90 відповідно.</w:t>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lang w:val="ru-RU"/>
        </w:rPr>
        <w:t>»</w:t>
      </w:r>
    </w:p>
    <w:p>
      <w:pPr>
        <w:pStyle w:val="Normal"/>
        <w:tabs>
          <w:tab w:val="clear" w:pos="720"/>
          <w:tab w:val="left" w:pos="851" w:leader="none"/>
        </w:tabs>
        <w:ind w:firstLine="567"/>
        <w:jc w:val="both"/>
        <w:rPr>
          <w:rFonts w:ascii="Times New Roman" w:hAnsi="Times New Roman"/>
          <w:sz w:val="28"/>
          <w:szCs w:val="28"/>
          <w:lang w:val="ru-RU"/>
        </w:rPr>
      </w:pPr>
      <w:r>
        <w:rPr>
          <w:rFonts w:ascii="Times New Roman" w:hAnsi="Times New Roman"/>
          <w:sz w:val="28"/>
          <w:szCs w:val="28"/>
          <w:lang w:val="ru-RU"/>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lang w:val="ru-RU"/>
        </w:rPr>
        <w:t>9. Оприлюднити це рішення в порядку, встановленому законодавством України.</w:t>
      </w:r>
    </w:p>
    <w:p>
      <w:pPr>
        <w:pStyle w:val="Normal"/>
        <w:tabs>
          <w:tab w:val="clear" w:pos="720"/>
          <w:tab w:val="left" w:pos="851" w:leader="none"/>
        </w:tabs>
        <w:ind w:firstLine="567"/>
        <w:jc w:val="both"/>
        <w:rPr>
          <w:rFonts w:ascii="Times New Roman" w:hAnsi="Times New Roman"/>
          <w:sz w:val="28"/>
          <w:szCs w:val="28"/>
          <w:lang w:val="ru-RU"/>
        </w:rPr>
      </w:pPr>
      <w:r>
        <w:rPr>
          <w:rFonts w:ascii="Times New Roman" w:hAnsi="Times New Roman"/>
          <w:sz w:val="28"/>
          <w:szCs w:val="28"/>
          <w:lang w:val="ru-RU"/>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lang w:val="ru-RU"/>
        </w:rPr>
        <w:t>10. Це рішення набирає чинності в порядку, визначеному законодавством України.</w:t>
      </w:r>
    </w:p>
    <w:p>
      <w:pPr>
        <w:pStyle w:val="Normal"/>
        <w:tabs>
          <w:tab w:val="clear" w:pos="720"/>
          <w:tab w:val="left" w:pos="851" w:leader="none"/>
        </w:tabs>
        <w:ind w:firstLine="567"/>
        <w:jc w:val="both"/>
        <w:rPr>
          <w:rFonts w:ascii="Times New Roman" w:hAnsi="Times New Roman"/>
          <w:sz w:val="28"/>
          <w:szCs w:val="28"/>
          <w:lang w:val="ru-RU"/>
        </w:rPr>
      </w:pPr>
      <w:r>
        <w:rPr>
          <w:rFonts w:ascii="Times New Roman" w:hAnsi="Times New Roman"/>
          <w:sz w:val="28"/>
          <w:szCs w:val="28"/>
          <w:lang w:val="ru-RU"/>
        </w:rPr>
      </w:r>
    </w:p>
    <w:p>
      <w:pPr>
        <w:pStyle w:val="Normal"/>
        <w:tabs>
          <w:tab w:val="clear" w:pos="720"/>
          <w:tab w:val="left" w:pos="851" w:leader="none"/>
        </w:tabs>
        <w:ind w:firstLine="567"/>
        <w:jc w:val="both"/>
        <w:rPr>
          <w:rFonts w:ascii="Times New Roman" w:hAnsi="Times New Roman"/>
          <w:sz w:val="28"/>
          <w:szCs w:val="28"/>
        </w:rPr>
      </w:pPr>
      <w:r>
        <w:rPr>
          <w:rFonts w:ascii="Times New Roman" w:hAnsi="Times New Roman"/>
          <w:sz w:val="28"/>
          <w:szCs w:val="28"/>
          <w:lang w:val="ru-RU"/>
        </w:rPr>
        <w:t>11.</w:t>
      </w:r>
      <w:r>
        <w:rPr>
          <w:rFonts w:ascii="Times New Roman" w:hAnsi="Times New Roman"/>
          <w:sz w:val="28"/>
          <w:szCs w:val="28"/>
        </w:rPr>
        <w:t> </w:t>
      </w:r>
      <w:r>
        <w:rPr>
          <w:rFonts w:ascii="Times New Roman" w:hAnsi="Times New Roman"/>
          <w:sz w:val="28"/>
          <w:szCs w:val="28"/>
          <w:lang w:val="ru-RU"/>
        </w:rPr>
        <w:t xml:space="preserve">Контроль за виконанням цього рішення покласти на постійну комісію Київської міської ради з питань власності. </w:t>
      </w:r>
    </w:p>
    <w:p>
      <w:pPr>
        <w:pStyle w:val="BlockText"/>
        <w:tabs>
          <w:tab w:val="clear" w:pos="720"/>
          <w:tab w:val="left" w:pos="7088" w:leader="none"/>
          <w:tab w:val="left" w:pos="7230" w:leader="none"/>
        </w:tabs>
        <w:ind w:left="0" w:right="0" w:hanging="0"/>
        <w:jc w:val="both"/>
        <w:rPr>
          <w:rFonts w:ascii="Times New Roman" w:hAnsi="Times New Roman"/>
          <w:b/>
          <w:b/>
          <w:sz w:val="28"/>
          <w:szCs w:val="28"/>
        </w:rPr>
      </w:pPr>
      <w:r>
        <w:rPr>
          <w:rFonts w:ascii="Times New Roman" w:hAnsi="Times New Roman"/>
          <w:b/>
          <w:sz w:val="28"/>
          <w:szCs w:val="28"/>
        </w:rPr>
      </w:r>
    </w:p>
    <w:p>
      <w:pPr>
        <w:sectPr>
          <w:headerReference w:type="default" r:id="rId4"/>
          <w:type w:val="nextPage"/>
          <w:pgSz w:w="11906" w:h="16838"/>
          <w:pgMar w:left="1701" w:right="567" w:header="709" w:top="992" w:footer="0" w:bottom="1134" w:gutter="0"/>
          <w:pgNumType w:fmt="decimal"/>
          <w:formProt w:val="false"/>
          <w:titlePg/>
          <w:textDirection w:val="lrTb"/>
          <w:docGrid w:type="default" w:linePitch="360" w:charSpace="0"/>
        </w:sectPr>
        <w:pStyle w:val="BlockText"/>
        <w:tabs>
          <w:tab w:val="clear" w:pos="720"/>
          <w:tab w:val="left" w:pos="7088" w:leader="none"/>
          <w:tab w:val="left" w:pos="7230" w:leader="none"/>
        </w:tabs>
        <w:ind w:left="0" w:right="0" w:hanging="0"/>
        <w:jc w:val="both"/>
        <w:rPr>
          <w:rFonts w:ascii="Times New Roman" w:hAnsi="Times New Roman"/>
          <w:sz w:val="28"/>
          <w:szCs w:val="28"/>
        </w:rPr>
      </w:pPr>
      <w:r>
        <w:rPr>
          <w:rFonts w:ascii="Times New Roman" w:hAnsi="Times New Roman"/>
          <w:b/>
          <w:sz w:val="28"/>
          <w:szCs w:val="28"/>
        </w:rPr>
        <w:t>Київський міський голова                                                         Віталій КЛИЧКО</w:t>
      </w:r>
    </w:p>
    <w:tbl>
      <w:tblPr>
        <w:tblW w:w="9774"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378"/>
        <w:gridCol w:w="1711"/>
        <w:gridCol w:w="3685"/>
      </w:tblGrid>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t>ПОДАННЯ:</w:t>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sz w:val="28"/>
                <w:szCs w:val="28"/>
              </w:rPr>
            </w:pPr>
            <w:r>
              <w:rPr>
                <w:rFonts w:eastAsia="SimSun" w:ascii="Times New Roman" w:hAnsi="Times New Roman"/>
                <w:sz w:val="28"/>
                <w:szCs w:val="28"/>
              </w:rPr>
              <w:t>Депутат Київської міської ради</w:t>
            </w:r>
          </w:p>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sz w:val="28"/>
                <w:szCs w:val="28"/>
              </w:rPr>
            </w:pPr>
            <w:r>
              <w:rPr>
                <w:rFonts w:eastAsia="SimSun" w:ascii="Times New Roman" w:hAnsi="Times New Roman"/>
                <w:sz w:val="28"/>
                <w:szCs w:val="28"/>
              </w:rPr>
              <w:t>Вікторія БУРДУКОВА</w:t>
            </w:r>
          </w:p>
          <w:p>
            <w:pPr>
              <w:pStyle w:val="Normal"/>
              <w:widowControl w:val="false"/>
              <w:jc w:val="both"/>
              <w:rPr>
                <w:rFonts w:ascii="Times New Roman" w:hAnsi="Times New Roman" w:eastAsia="SimSun"/>
                <w:sz w:val="28"/>
                <w:szCs w:val="28"/>
              </w:rPr>
            </w:pPr>
            <w:r>
              <w:rPr>
                <w:rFonts w:eastAsia="SimSun" w:ascii="Times New Roman" w:hAnsi="Times New Roman"/>
                <w:sz w:val="28"/>
                <w:szCs w:val="28"/>
              </w:rPr>
            </w:r>
          </w:p>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t>ПОГОДЖЕНО:</w:t>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sz w:val="28"/>
                <w:szCs w:val="28"/>
                <w:lang w:val="ru-RU"/>
              </w:rPr>
            </w:pPr>
            <w:r>
              <w:rPr>
                <w:rFonts w:eastAsia="SimSun" w:ascii="Times New Roman" w:hAnsi="Times New Roman"/>
                <w:sz w:val="28"/>
                <w:szCs w:val="28"/>
                <w:lang w:val="ru-RU"/>
              </w:rPr>
              <w:t xml:space="preserve">Постійна комісія Київської </w:t>
            </w:r>
          </w:p>
          <w:p>
            <w:pPr>
              <w:pStyle w:val="Normal"/>
              <w:widowControl w:val="false"/>
              <w:rPr>
                <w:rFonts w:ascii="Times New Roman" w:hAnsi="Times New Roman" w:eastAsia="SimSun"/>
                <w:sz w:val="28"/>
                <w:szCs w:val="28"/>
                <w:lang w:val="ru-RU"/>
              </w:rPr>
            </w:pPr>
            <w:r>
              <w:rPr>
                <w:rFonts w:eastAsia="SimSun" w:ascii="Times New Roman" w:hAnsi="Times New Roman"/>
                <w:sz w:val="28"/>
                <w:szCs w:val="28"/>
                <w:lang w:val="ru-RU"/>
              </w:rPr>
              <w:t>міської ради з питань власності</w:t>
            </w:r>
          </w:p>
        </w:tc>
        <w:tc>
          <w:tcPr>
            <w:tcW w:w="1711"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c>
          <w:tcPr>
            <w:tcW w:w="3685"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r>
      <w:tr>
        <w:trPr/>
        <w:tc>
          <w:tcPr>
            <w:tcW w:w="4378" w:type="dxa"/>
            <w:tcBorders/>
            <w:shd w:color="auto" w:fill="auto" w:val="clear"/>
          </w:tcPr>
          <w:p>
            <w:pPr>
              <w:pStyle w:val="Normal"/>
              <w:widowControl w:val="false"/>
              <w:rPr>
                <w:rFonts w:ascii="Times New Roman" w:hAnsi="Times New Roman" w:eastAsia="SimSun"/>
                <w:b/>
                <w:b/>
                <w:sz w:val="28"/>
                <w:szCs w:val="28"/>
                <w:lang w:val="ru-RU"/>
              </w:rPr>
            </w:pPr>
            <w:r>
              <w:rPr>
                <w:rFonts w:eastAsia="SimSun" w:ascii="Times New Roman" w:hAnsi="Times New Roman"/>
                <w:b/>
                <w:sz w:val="28"/>
                <w:szCs w:val="28"/>
                <w:lang w:val="ru-RU"/>
              </w:rPr>
            </w:r>
          </w:p>
        </w:tc>
        <w:tc>
          <w:tcPr>
            <w:tcW w:w="1711"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c>
          <w:tcPr>
            <w:tcW w:w="3685"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r>
      <w:tr>
        <w:trPr/>
        <w:tc>
          <w:tcPr>
            <w:tcW w:w="4378" w:type="dxa"/>
            <w:tcBorders/>
            <w:shd w:color="auto" w:fill="auto" w:val="clear"/>
          </w:tcPr>
          <w:p>
            <w:pPr>
              <w:pStyle w:val="Normal"/>
              <w:widowControl w:val="false"/>
              <w:rPr>
                <w:rFonts w:ascii="Times New Roman" w:hAnsi="Times New Roman" w:eastAsia="SimSun"/>
                <w:sz w:val="28"/>
                <w:szCs w:val="28"/>
              </w:rPr>
            </w:pPr>
            <w:r>
              <w:rPr>
                <w:rFonts w:eastAsia="SimSun" w:ascii="Times New Roman" w:hAnsi="Times New Roman"/>
                <w:sz w:val="28"/>
                <w:szCs w:val="28"/>
              </w:rPr>
              <w:t>Голова комісії</w:t>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sz w:val="28"/>
                <w:szCs w:val="28"/>
              </w:rPr>
            </w:pPr>
            <w:r>
              <w:rPr>
                <w:rFonts w:eastAsia="SimSun" w:ascii="Times New Roman" w:hAnsi="Times New Roman"/>
                <w:sz w:val="28"/>
                <w:szCs w:val="28"/>
              </w:rPr>
              <w:t>Михайло ПРИСЯЖНЮК</w:t>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sz w:val="28"/>
                <w:szCs w:val="28"/>
              </w:rPr>
            </w:pPr>
            <w:r>
              <w:rPr>
                <w:rFonts w:eastAsia="SimSun" w:ascii="Times New Roman" w:hAnsi="Times New Roman"/>
                <w:sz w:val="28"/>
                <w:szCs w:val="28"/>
              </w:rPr>
              <w:t>Секретар комісії</w:t>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sz w:val="28"/>
                <w:szCs w:val="28"/>
              </w:rPr>
            </w:pPr>
            <w:r>
              <w:rPr>
                <w:rFonts w:eastAsia="SimSun" w:ascii="Times New Roman" w:hAnsi="Times New Roman"/>
                <w:sz w:val="28"/>
                <w:szCs w:val="28"/>
              </w:rPr>
              <w:t>Сергій АРТЕМЕНКО</w:t>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sz w:val="28"/>
                <w:szCs w:val="28"/>
                <w:lang w:val="ru-RU"/>
              </w:rPr>
            </w:pPr>
            <w:r>
              <w:rPr>
                <w:rFonts w:eastAsia="SimSun" w:ascii="Times New Roman" w:hAnsi="Times New Roman"/>
                <w:sz w:val="28"/>
                <w:szCs w:val="28"/>
                <w:lang w:val="ru-RU"/>
              </w:rPr>
              <w:t>Постійна комісія Київської</w:t>
            </w:r>
          </w:p>
          <w:p>
            <w:pPr>
              <w:pStyle w:val="Normal"/>
              <w:widowControl w:val="false"/>
              <w:rPr>
                <w:rFonts w:ascii="Times New Roman" w:hAnsi="Times New Roman" w:eastAsia="SimSun"/>
                <w:sz w:val="28"/>
                <w:szCs w:val="28"/>
                <w:lang w:val="ru-RU"/>
              </w:rPr>
            </w:pPr>
            <w:r>
              <w:rPr>
                <w:rFonts w:eastAsia="SimSun" w:ascii="Times New Roman" w:hAnsi="Times New Roman"/>
                <w:sz w:val="28"/>
                <w:szCs w:val="28"/>
                <w:lang w:val="ru-RU"/>
              </w:rPr>
              <w:t>міської ради з питань житлово-комунального господарства та паливно-енергетичного комплексу</w:t>
            </w:r>
          </w:p>
        </w:tc>
        <w:tc>
          <w:tcPr>
            <w:tcW w:w="1711"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c>
          <w:tcPr>
            <w:tcW w:w="3685"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r>
      <w:tr>
        <w:trPr/>
        <w:tc>
          <w:tcPr>
            <w:tcW w:w="4378" w:type="dxa"/>
            <w:tcBorders/>
            <w:shd w:color="auto" w:fill="auto" w:val="clear"/>
          </w:tcPr>
          <w:p>
            <w:pPr>
              <w:pStyle w:val="Normal"/>
              <w:widowControl w:val="false"/>
              <w:rPr>
                <w:rFonts w:ascii="Times New Roman" w:hAnsi="Times New Roman" w:eastAsia="SimSun"/>
                <w:b/>
                <w:b/>
                <w:sz w:val="28"/>
                <w:szCs w:val="28"/>
                <w:lang w:val="ru-RU"/>
              </w:rPr>
            </w:pPr>
            <w:r>
              <w:rPr>
                <w:rFonts w:eastAsia="SimSun" w:ascii="Times New Roman" w:hAnsi="Times New Roman"/>
                <w:b/>
                <w:sz w:val="28"/>
                <w:szCs w:val="28"/>
                <w:lang w:val="ru-RU"/>
              </w:rPr>
            </w:r>
          </w:p>
        </w:tc>
        <w:tc>
          <w:tcPr>
            <w:tcW w:w="1711"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c>
          <w:tcPr>
            <w:tcW w:w="3685" w:type="dxa"/>
            <w:tcBorders/>
            <w:shd w:color="auto" w:fill="auto" w:val="clear"/>
          </w:tcPr>
          <w:p>
            <w:pPr>
              <w:pStyle w:val="Normal"/>
              <w:widowControl w:val="false"/>
              <w:jc w:val="both"/>
              <w:rPr>
                <w:rFonts w:ascii="Times New Roman" w:hAnsi="Times New Roman" w:eastAsia="SimSun"/>
                <w:b/>
                <w:b/>
                <w:sz w:val="28"/>
                <w:szCs w:val="28"/>
                <w:lang w:val="ru-RU"/>
              </w:rPr>
            </w:pPr>
            <w:r>
              <w:rPr>
                <w:rFonts w:eastAsia="SimSun" w:ascii="Times New Roman" w:hAnsi="Times New Roman"/>
                <w:b/>
                <w:sz w:val="28"/>
                <w:szCs w:val="28"/>
                <w:lang w:val="ru-RU"/>
              </w:rPr>
            </w:r>
          </w:p>
        </w:tc>
      </w:tr>
      <w:tr>
        <w:trPr/>
        <w:tc>
          <w:tcPr>
            <w:tcW w:w="4378" w:type="dxa"/>
            <w:tcBorders/>
            <w:shd w:color="auto" w:fill="auto" w:val="clear"/>
          </w:tcPr>
          <w:p>
            <w:pPr>
              <w:pStyle w:val="Normal"/>
              <w:widowControl w:val="false"/>
              <w:rPr>
                <w:rFonts w:ascii="Times New Roman" w:hAnsi="Times New Roman" w:eastAsia="SimSun"/>
                <w:sz w:val="28"/>
                <w:szCs w:val="28"/>
              </w:rPr>
            </w:pPr>
            <w:r>
              <w:rPr>
                <w:rFonts w:eastAsia="SimSun" w:ascii="Times New Roman" w:hAnsi="Times New Roman"/>
                <w:sz w:val="28"/>
                <w:szCs w:val="28"/>
              </w:rPr>
              <w:t>Голова комісії</w:t>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sz w:val="28"/>
                <w:szCs w:val="28"/>
              </w:rPr>
            </w:pPr>
            <w:r>
              <w:rPr>
                <w:rFonts w:eastAsia="SimSun" w:ascii="Times New Roman" w:hAnsi="Times New Roman"/>
                <w:sz w:val="28"/>
                <w:szCs w:val="28"/>
              </w:rPr>
              <w:t>Олександр БРОДСЬКИЙ</w:t>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sz w:val="28"/>
                <w:szCs w:val="28"/>
              </w:rPr>
            </w:pPr>
            <w:r>
              <w:rPr>
                <w:rFonts w:eastAsia="SimSun" w:ascii="Times New Roman" w:hAnsi="Times New Roman"/>
                <w:sz w:val="28"/>
                <w:szCs w:val="28"/>
              </w:rPr>
              <w:t>Секретар комісії</w:t>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sz w:val="28"/>
                <w:szCs w:val="28"/>
              </w:rPr>
            </w:pPr>
            <w:r>
              <w:rPr>
                <w:rFonts w:eastAsia="SimSun" w:ascii="Times New Roman" w:hAnsi="Times New Roman"/>
                <w:sz w:val="28"/>
                <w:szCs w:val="28"/>
              </w:rPr>
              <w:t>Тарас КРИВОРУЧКО</w:t>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rPr>
                <w:rFonts w:ascii="Times New Roman" w:hAnsi="Times New Roman" w:eastAsia="SimSun"/>
                <w:b/>
                <w:b/>
                <w:sz w:val="28"/>
                <w:szCs w:val="28"/>
              </w:rPr>
            </w:pPr>
            <w:r>
              <w:rPr>
                <w:rFonts w:eastAsia="SimSun" w:ascii="Times New Roman" w:hAnsi="Times New Roman"/>
                <w:b/>
                <w:sz w:val="28"/>
                <w:szCs w:val="28"/>
              </w:rPr>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r>
      <w:tr>
        <w:trPr/>
        <w:tc>
          <w:tcPr>
            <w:tcW w:w="4378" w:type="dxa"/>
            <w:tcBorders/>
            <w:shd w:color="auto" w:fill="auto" w:val="clear"/>
          </w:tcPr>
          <w:p>
            <w:pPr>
              <w:pStyle w:val="Normal"/>
              <w:widowControl w:val="false"/>
              <w:tabs>
                <w:tab w:val="clear" w:pos="720"/>
                <w:tab w:val="left" w:pos="7088" w:leader="none"/>
              </w:tabs>
              <w:rPr>
                <w:rFonts w:ascii="Times New Roman" w:hAnsi="Times New Roman" w:eastAsia="SimSun"/>
                <w:sz w:val="28"/>
                <w:szCs w:val="28"/>
              </w:rPr>
            </w:pPr>
            <w:r>
              <w:rPr>
                <w:rFonts w:eastAsia="SimSun" w:ascii="Times New Roman" w:hAnsi="Times New Roman"/>
                <w:sz w:val="28"/>
                <w:szCs w:val="28"/>
              </w:rPr>
              <w:t>Виконувач обов’язків начальника управління правового забезпечення діяльності Київської міської ради секретаріату Київської міської ради</w:t>
            </w:r>
          </w:p>
        </w:tc>
        <w:tc>
          <w:tcPr>
            <w:tcW w:w="1711" w:type="dxa"/>
            <w:tcBorders/>
            <w:shd w:color="auto" w:fill="auto" w:val="clear"/>
          </w:tcPr>
          <w:p>
            <w:pPr>
              <w:pStyle w:val="Normal"/>
              <w:widowControl w:val="false"/>
              <w:jc w:val="both"/>
              <w:rPr>
                <w:rFonts w:ascii="Times New Roman" w:hAnsi="Times New Roman" w:eastAsia="SimSun"/>
                <w:b/>
                <w:b/>
                <w:sz w:val="28"/>
                <w:szCs w:val="28"/>
              </w:rPr>
            </w:pPr>
            <w:r>
              <w:rPr>
                <w:rFonts w:eastAsia="SimSun" w:ascii="Times New Roman" w:hAnsi="Times New Roman"/>
                <w:b/>
                <w:sz w:val="28"/>
                <w:szCs w:val="28"/>
              </w:rPr>
            </w:r>
          </w:p>
        </w:tc>
        <w:tc>
          <w:tcPr>
            <w:tcW w:w="3685" w:type="dxa"/>
            <w:tcBorders/>
            <w:shd w:color="auto" w:fill="auto" w:val="clear"/>
            <w:vAlign w:val="bottom"/>
          </w:tcPr>
          <w:p>
            <w:pPr>
              <w:pStyle w:val="Normal"/>
              <w:widowControl w:val="false"/>
              <w:jc w:val="both"/>
              <w:rPr>
                <w:rFonts w:ascii="Times New Roman" w:hAnsi="Times New Roman" w:eastAsia="SimSun"/>
                <w:sz w:val="28"/>
                <w:szCs w:val="28"/>
              </w:rPr>
            </w:pPr>
            <w:r>
              <w:rPr>
                <w:rFonts w:eastAsia="SimSun" w:ascii="Times New Roman" w:hAnsi="Times New Roman"/>
                <w:sz w:val="28"/>
                <w:szCs w:val="28"/>
              </w:rPr>
              <w:t>Валентина ПОЛОЖИШНИК</w:t>
            </w:r>
          </w:p>
        </w:tc>
      </w:tr>
    </w:tbl>
    <w:p>
      <w:pPr>
        <w:pStyle w:val="BlockText"/>
        <w:tabs>
          <w:tab w:val="clear" w:pos="720"/>
          <w:tab w:val="left" w:pos="7088" w:leader="none"/>
          <w:tab w:val="left" w:pos="7230" w:leader="none"/>
        </w:tabs>
        <w:ind w:left="0" w:right="0" w:hanging="0"/>
        <w:jc w:val="both"/>
        <w:rPr>
          <w:rFonts w:ascii="Times New Roman" w:hAnsi="Times New Roman"/>
          <w:b/>
          <w:b/>
          <w:sz w:val="28"/>
          <w:szCs w:val="28"/>
        </w:rPr>
      </w:pPr>
      <w:r>
        <w:rPr>
          <w:rFonts w:ascii="Times New Roman" w:hAnsi="Times New Roman"/>
          <w:b/>
          <w:sz w:val="28"/>
          <w:szCs w:val="28"/>
        </w:rPr>
      </w:r>
    </w:p>
    <w:p>
      <w:pPr>
        <w:pStyle w:val="BlockText"/>
        <w:tabs>
          <w:tab w:val="clear" w:pos="720"/>
          <w:tab w:val="left" w:pos="7088" w:leader="none"/>
          <w:tab w:val="left" w:pos="7230" w:leader="none"/>
        </w:tabs>
        <w:ind w:left="0" w:right="0" w:hanging="0"/>
        <w:jc w:val="both"/>
        <w:rPr>
          <w:rFonts w:ascii="Times New Roman" w:hAnsi="Times New Roman"/>
          <w:sz w:val="28"/>
          <w:szCs w:val="28"/>
        </w:rPr>
      </w:pPr>
      <w:r>
        <w:rPr>
          <w:rFonts w:ascii="Times New Roman" w:hAnsi="Times New Roman"/>
          <w:sz w:val="28"/>
          <w:szCs w:val="28"/>
        </w:rPr>
      </w:r>
    </w:p>
    <w:sectPr>
      <w:headerReference w:type="default" r:id="rId5"/>
      <w:type w:val="nextPage"/>
      <w:pgSz w:w="12240" w:h="15840"/>
      <w:pgMar w:left="1133" w:right="595" w:header="720" w:top="777" w:footer="0" w:bottom="1440"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Calibri Light">
    <w:charset w:val="cc"/>
    <w:family w:val="roman"/>
    <w:pitch w:val="variable"/>
  </w:font>
  <w:font w:name="Times New Roman">
    <w:charset w:val="cc"/>
    <w:family w:val="roman"/>
    <w:pitch w:val="variable"/>
  </w:font>
  <w:font w:name="Liberation Sans">
    <w:altName w:val="Arial"/>
    <w:charset w:val="cc"/>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center"/>
      <w:rPr>
        <w:sz w:val="28"/>
        <w:szCs w:val="28"/>
      </w:rPr>
    </w:pPr>
    <w:r>
      <w:rPr/>
    </w:r>
  </w:p>
  <w:p>
    <w:pPr>
      <w:pStyle w:val="Style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0"/>
      <w:jc w:val="center"/>
      <w:rPr>
        <w:sz w:val="28"/>
        <w:szCs w:val="28"/>
      </w:rPr>
    </w:pPr>
    <w:r>
      <w:rPr/>
    </w:r>
  </w:p>
  <w:p>
    <w:pPr>
      <w:pStyle w:val="Style20"/>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834e3"/>
    <w:pPr>
      <w:widowControl/>
      <w:bidi w:val="0"/>
      <w:spacing w:lineRule="auto" w:line="240" w:before="0" w:after="0"/>
      <w:jc w:val="left"/>
    </w:pPr>
    <w:rPr>
      <w:rFonts w:ascii="Arial" w:hAnsi="Arial" w:eastAsia="Arial" w:cs="Arial"/>
      <w:color w:val="auto"/>
      <w:kern w:val="0"/>
      <w:sz w:val="20"/>
      <w:szCs w:val="20"/>
      <w:lang w:eastAsia="uk-UA" w:val="en-US" w:bidi="ar-SA"/>
    </w:rPr>
  </w:style>
  <w:style w:type="paragraph" w:styleId="1">
    <w:name w:val="Heading 1"/>
    <w:basedOn w:val="Normal"/>
    <w:next w:val="Normal"/>
    <w:link w:val="10"/>
    <w:qFormat/>
    <w:rsid w:val="001d3172"/>
    <w:pPr>
      <w:keepNext w:val="true"/>
      <w:spacing w:before="240" w:after="60"/>
      <w:outlineLvl w:val="0"/>
    </w:pPr>
    <w:rPr>
      <w:rFonts w:ascii="Calibri Light" w:hAnsi="Calibri Light" w:eastAsia="Times New Roman" w:cs="Times New Roman"/>
      <w:b/>
      <w:bCs/>
      <w:kern w:val="2"/>
      <w:sz w:val="32"/>
      <w:szCs w:val="32"/>
      <w:lang w:val="uk-UA"/>
    </w:rPr>
  </w:style>
  <w:style w:type="paragraph" w:styleId="5">
    <w:name w:val="Heading 5"/>
    <w:basedOn w:val="Normal"/>
    <w:link w:val="50"/>
    <w:uiPriority w:val="9"/>
    <w:qFormat/>
    <w:rsid w:val="00645400"/>
    <w:pPr>
      <w:spacing w:beforeAutospacing="1" w:afterAutospacing="1"/>
      <w:outlineLvl w:val="4"/>
    </w:pPr>
    <w:rPr>
      <w:rFonts w:ascii="Times New Roman" w:hAnsi="Times New Roman" w:eastAsia="Times New Roman" w:cs="Times New Roman"/>
      <w:b/>
      <w:bCs/>
      <w:lang w:eastAsia="en-US"/>
    </w:rPr>
  </w:style>
  <w:style w:type="character" w:styleId="DefaultParagraphFont" w:default="1">
    <w:name w:val="Default Paragraph Font"/>
    <w:uiPriority w:val="1"/>
    <w:semiHidden/>
    <w:unhideWhenUsed/>
    <w:qFormat/>
    <w:rPr/>
  </w:style>
  <w:style w:type="character" w:styleId="51" w:customStyle="1">
    <w:name w:val="Заголовок 5 Знак"/>
    <w:basedOn w:val="DefaultParagraphFont"/>
    <w:link w:val="5"/>
    <w:uiPriority w:val="9"/>
    <w:qFormat/>
    <w:rsid w:val="00645400"/>
    <w:rPr>
      <w:rFonts w:ascii="Times New Roman" w:hAnsi="Times New Roman" w:eastAsia="Times New Roman" w:cs="Times New Roman"/>
      <w:b/>
      <w:bCs/>
      <w:sz w:val="20"/>
      <w:szCs w:val="20"/>
    </w:rPr>
  </w:style>
  <w:style w:type="character" w:styleId="11" w:customStyle="1">
    <w:name w:val="Заголовок 1 Знак"/>
    <w:basedOn w:val="DefaultParagraphFont"/>
    <w:link w:val="1"/>
    <w:qFormat/>
    <w:rsid w:val="001d3172"/>
    <w:rPr>
      <w:rFonts w:ascii="Calibri Light" w:hAnsi="Calibri Light" w:eastAsia="Times New Roman" w:cs="Times New Roman"/>
      <w:b/>
      <w:bCs/>
      <w:kern w:val="2"/>
      <w:sz w:val="32"/>
      <w:szCs w:val="32"/>
      <w:lang w:val="uk-UA" w:eastAsia="uk-UA"/>
    </w:rPr>
  </w:style>
  <w:style w:type="character" w:styleId="Style12" w:customStyle="1">
    <w:name w:val="Верхний колонтитул Знак"/>
    <w:basedOn w:val="DefaultParagraphFont"/>
    <w:link w:val="a8"/>
    <w:uiPriority w:val="99"/>
    <w:qFormat/>
    <w:rsid w:val="001d3172"/>
    <w:rPr>
      <w:rFonts w:ascii="Times New Roman" w:hAnsi="Times New Roman" w:eastAsia="Times New Roman" w:cs="Times New Roman"/>
      <w:sz w:val="24"/>
      <w:szCs w:val="24"/>
      <w:lang w:val="uk-UA" w:eastAsia="uk-UA"/>
    </w:rPr>
  </w:style>
  <w:style w:type="character" w:styleId="Strong">
    <w:name w:val="Strong"/>
    <w:uiPriority w:val="22"/>
    <w:qFormat/>
    <w:rsid w:val="001d3172"/>
    <w:rPr>
      <w:b/>
      <w:bCs/>
    </w:rPr>
  </w:style>
  <w:style w:type="character" w:styleId="Style13" w:customStyle="1">
    <w:name w:val="Обычный (веб) Знак"/>
    <w:link w:val="a6"/>
    <w:qFormat/>
    <w:locked/>
    <w:rsid w:val="001d3172"/>
    <w:rPr>
      <w:rFonts w:ascii="Times New Roman" w:hAnsi="Times New Roman" w:eastAsia="Times New Roman" w:cs="Times New Roman"/>
      <w:sz w:val="24"/>
      <w:szCs w:val="24"/>
      <w:lang w:val="uk-UA" w:eastAsia="uk-UA"/>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ListParagraph">
    <w:name w:val="List Paragraph"/>
    <w:basedOn w:val="Normal"/>
    <w:uiPriority w:val="34"/>
    <w:qFormat/>
    <w:rsid w:val="008834e3"/>
    <w:pPr>
      <w:spacing w:before="0" w:after="0"/>
      <w:ind w:left="720" w:hanging="0"/>
      <w:contextualSpacing/>
    </w:pPr>
    <w:rPr/>
  </w:style>
  <w:style w:type="paragraph" w:styleId="BlockText">
    <w:name w:val="Block Text"/>
    <w:basedOn w:val="Normal"/>
    <w:qFormat/>
    <w:rsid w:val="001d3172"/>
    <w:pPr>
      <w:ind w:left="142" w:right="-1044" w:firstLine="284"/>
    </w:pPr>
    <w:rPr>
      <w:rFonts w:ascii="Times New Roman" w:hAnsi="Times New Roman" w:eastAsia="SimSun" w:cs="Times New Roman"/>
      <w:sz w:val="24"/>
      <w:lang w:val="uk-UA" w:eastAsia="ru-RU"/>
    </w:rPr>
  </w:style>
  <w:style w:type="paragraph" w:styleId="NormalWeb">
    <w:name w:val="Normal (Web)"/>
    <w:basedOn w:val="Normal"/>
    <w:link w:val="a7"/>
    <w:unhideWhenUsed/>
    <w:qFormat/>
    <w:rsid w:val="001d3172"/>
    <w:pPr>
      <w:spacing w:beforeAutospacing="1" w:afterAutospacing="1"/>
    </w:pPr>
    <w:rPr>
      <w:rFonts w:ascii="Times New Roman" w:hAnsi="Times New Roman" w:eastAsia="Times New Roman" w:cs="Times New Roman"/>
      <w:sz w:val="24"/>
      <w:szCs w:val="24"/>
      <w:lang w:val="uk-UA"/>
    </w:rPr>
  </w:style>
  <w:style w:type="paragraph" w:styleId="Style19">
    <w:name w:val="Верхний и нижний колонтитулы"/>
    <w:basedOn w:val="Normal"/>
    <w:qFormat/>
    <w:pPr/>
    <w:rPr/>
  </w:style>
  <w:style w:type="paragraph" w:styleId="Style20">
    <w:name w:val="Header"/>
    <w:basedOn w:val="Normal"/>
    <w:link w:val="a9"/>
    <w:uiPriority w:val="99"/>
    <w:rsid w:val="001d3172"/>
    <w:pPr>
      <w:tabs>
        <w:tab w:val="clear" w:pos="720"/>
        <w:tab w:val="center" w:pos="4844" w:leader="none"/>
        <w:tab w:val="right" w:pos="9689" w:leader="none"/>
      </w:tabs>
    </w:pPr>
    <w:rPr>
      <w:rFonts w:ascii="Times New Roman" w:hAnsi="Times New Roman" w:eastAsia="Times New Roman" w:cs="Times New Roman"/>
      <w:sz w:val="24"/>
      <w:szCs w:val="24"/>
      <w:lang w:val="uk-U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4">
    <w:name w:val="Table Grid"/>
    <w:basedOn w:val="a1"/>
    <w:uiPriority w:val="39"/>
    <w:rsid w:val="008834e3"/>
    <w:pPr>
      <w:spacing w:after="0" w:line="240" w:lineRule="auto"/>
    </w:pPr>
    <w:rPr>
      <w:lang w:val="uk-U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LibreOffice/7.0.4.2$Windows_X86_64 LibreOffice_project/dcf040e67528d9187c66b2379df5ea4407429775</Application>
  <AppVersion>15.0000</AppVersion>
  <Pages>5</Pages>
  <Words>793</Words>
  <Characters>5340</Characters>
  <CharactersWithSpaces>6202</CharactersWithSpaces>
  <Paragraphs>50</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2022-09-16T11:24:00Z</dcterms:created>
  <dc:creator>User</dc:creator>
  <dc:description/>
  <dc:language>ru-RU</dc:language>
  <cp:lastModifiedBy/>
  <cp:lastPrinted>2022-09-22T15:01:06Z</cp:lastPrinted>
  <dcterms:modified xsi:type="dcterms:W3CDTF">2022-09-22T15:02:32Z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